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252"/>
        <w:gridCol w:w="4819"/>
      </w:tblGrid>
      <w:tr>
        <w:tc>
          <w:tcPr>
            <w:tcW w:type="dxa" w:w="4535"/>
            <w:tcMar>
              <w:top w:w="0" w:type="dxa"/>
              <w:start w:w="40" w:type="dxa"/>
              <w:bottom w:w="0" w:type="dxa"/>
              <w:end w:w="40" w:type="dxa"/>
            </w:tcMar>
          </w:tcPr>
          <w:p>
            <w:pPr>
              <w:jc w:val="center"/>
            </w:pPr>
            <w:r>
              <w:rPr>
                <w:rFonts w:ascii="Times New Roman" w:hAnsi="Times New Roman" w:eastAsia="Times New Roman"/>
                <w:b/>
                <w:i w:val="0"/>
                <w:color w:val="000000"/>
                <w:sz w:val="24"/>
              </w:rPr>
              <w:t>CÔNG TY TNHH CÔNG NGHỆ</w:t>
              <w:br/>
              <w:t>VIỆT CORE VIỆT NAM</w:t>
            </w:r>
          </w:p>
          <w:p>
            <w:pPr>
              <w:jc w:val="center"/>
            </w:pPr>
            <w:r>
              <w:rPr>
                <w:rFonts w:ascii="Times New Roman" w:hAnsi="Times New Roman" w:eastAsia="Times New Roman"/>
                <w:b w:val="0"/>
                <w:i w:val="0"/>
                <w:color w:val="000000"/>
                <w:sz w:val="24"/>
              </w:rPr>
              <w:t>Số: ……/2026/HS-VCC</w:t>
            </w:r>
          </w:p>
        </w:tc>
        <w:tc>
          <w:tcPr>
            <w:tcW w:type="dxa" w:w="4535"/>
            <w:tcMar>
              <w:top w:w="0" w:type="dxa"/>
              <w:start w:w="40" w:type="dxa"/>
              <w:bottom w:w="0" w:type="dxa"/>
              <w:end w:w="40" w:type="dxa"/>
            </w:tcMar>
          </w:tcPr>
          <w:p>
            <w:pPr>
              <w:jc w:val="center"/>
            </w:pPr>
            <w:r>
              <w:rPr>
                <w:rFonts w:ascii="Times New Roman" w:hAnsi="Times New Roman" w:eastAsia="Times New Roman"/>
                <w:b/>
                <w:i w:val="0"/>
                <w:color w:val="000000"/>
                <w:sz w:val="24"/>
              </w:rPr>
              <w:t>CỘNG HÒA XÃ HỘI CHỦ NGHĨA VIỆT NAM</w:t>
            </w:r>
          </w:p>
          <w:p>
            <w:pPr>
              <w:jc w:val="center"/>
            </w:pPr>
            <w:r>
              <w:rPr>
                <w:rFonts w:ascii="Times New Roman" w:hAnsi="Times New Roman" w:eastAsia="Times New Roman"/>
                <w:b/>
                <w:i w:val="0"/>
                <w:color w:val="000000"/>
                <w:sz w:val="26"/>
              </w:rPr>
              <w:t>Độc lập - Tự do - Hạnh phúc</w:t>
            </w:r>
          </w:p>
          <w:p>
            <w:pPr>
              <w:jc w:val="center"/>
            </w:pPr>
            <w:r>
              <w:rPr>
                <w:rFonts w:ascii="Times New Roman" w:hAnsi="Times New Roman" w:eastAsia="Times New Roman"/>
                <w:b w:val="0"/>
                <w:i/>
                <w:color w:val="000000"/>
                <w:sz w:val="23"/>
              </w:rPr>
              <w:t>TP. Hồ Chí Minh, ngày …… tháng …… năm 2026</w:t>
            </w:r>
          </w:p>
        </w:tc>
      </w:tr>
    </w:tbl>
    <w:p>
      <w:pPr>
        <w:spacing w:after="240"/>
      </w:pPr>
    </w:p>
    <w:p>
      <w:pPr>
        <w:pStyle w:val="Title"/>
        <w:spacing w:after="100"/>
        <w:jc w:val="center"/>
      </w:pPr>
      <w:r>
        <w:rPr>
          <w:rFonts w:ascii="Times New Roman" w:hAnsi="Times New Roman" w:eastAsia="Times New Roman"/>
          <w:b/>
          <w:i w:val="0"/>
          <w:color w:val="000000"/>
          <w:sz w:val="40"/>
        </w:rPr>
        <w:t>HỒ SƠ THUYẾT MINH THIẾT BỊ</w:t>
      </w:r>
    </w:p>
    <w:p>
      <w:pPr>
        <w:spacing w:after="100"/>
        <w:jc w:val="center"/>
      </w:pPr>
      <w:r>
        <w:rPr>
          <w:rFonts w:ascii="Times New Roman" w:hAnsi="Times New Roman" w:eastAsia="Times New Roman"/>
          <w:b/>
          <w:i w:val="0"/>
          <w:color w:val="000000"/>
          <w:sz w:val="36"/>
        </w:rPr>
        <w:t>MÁY BẮN BI PINBALL ĐỔI QUÀ</w:t>
      </w:r>
    </w:p>
    <w:p>
      <w:pPr>
        <w:spacing w:after="240"/>
        <w:jc w:val="center"/>
      </w:pPr>
      <w:r>
        <w:rPr>
          <w:rFonts w:ascii="Times New Roman" w:hAnsi="Times New Roman" w:eastAsia="Times New Roman"/>
          <w:b w:val="0"/>
          <w:i/>
          <w:color w:val="000000"/>
          <w:sz w:val="26"/>
        </w:rPr>
        <w:t>Phục vụ xem xét lắp đặt và vận hành tại trung tâm thương mại</w:t>
      </w:r>
    </w:p>
    <w:p>
      <w:pPr>
        <w:keepNext/>
        <w:jc w:val="center"/>
      </w:pPr>
      <w:r>
        <w:drawing>
          <wp:inline xmlns:a="http://schemas.openxmlformats.org/drawingml/2006/main" xmlns:pic="http://schemas.openxmlformats.org/drawingml/2006/picture">
            <wp:extent cx="3888000" cy="4539072"/>
            <wp:docPr id="1" name="Picture 1"/>
            <wp:cNvGraphicFramePr>
              <a:graphicFrameLocks noChangeAspect="1"/>
            </wp:cNvGraphicFramePr>
            <a:graphic>
              <a:graphicData uri="http://schemas.openxmlformats.org/drawingml/2006/picture">
                <pic:pic>
                  <pic:nvPicPr>
                    <pic:cNvPr id="0" name="installation.jpg"/>
                    <pic:cNvPicPr/>
                  </pic:nvPicPr>
                  <pic:blipFill>
                    <a:blip r:embed="rId10"/>
                    <a:stretch>
                      <a:fillRect/>
                    </a:stretch>
                  </pic:blipFill>
                  <pic:spPr>
                    <a:xfrm>
                      <a:off x="0" y="0"/>
                      <a:ext cx="3888000" cy="4539072"/>
                    </a:xfrm>
                    <a:prstGeom prst="rect"/>
                  </pic:spPr>
                </pic:pic>
              </a:graphicData>
            </a:graphic>
          </wp:inline>
        </w:drawing>
      </w:r>
    </w:p>
    <w:p>
      <w:pPr>
        <w:spacing w:after="140"/>
        <w:jc w:val="center"/>
      </w:pPr>
      <w:r>
        <w:rPr>
          <w:rFonts w:ascii="Times New Roman" w:hAnsi="Times New Roman" w:eastAsia="Times New Roman"/>
          <w:b w:val="0"/>
          <w:i/>
          <w:color w:val="000000"/>
          <w:sz w:val="22"/>
        </w:rPr>
        <w:t>Hình ảnh thực tế máy bắn bi Pinball tại điểm trưng bày</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535"/>
        <w:gridCol w:w="4535"/>
      </w:tblGrid>
      <w:tr>
        <w:tc>
          <w:tcPr>
            <w:tcW w:type="dxa" w:w="4535"/>
            <w:tcMar>
              <w:top w:w="45" w:type="dxa"/>
              <w:start w:w="80" w:type="dxa"/>
              <w:bottom w:w="45" w:type="dxa"/>
              <w:end w:w="80" w:type="dxa"/>
            </w:tcMar>
          </w:tcPr>
          <w:p>
            <w:r>
              <w:rPr>
                <w:rFonts w:ascii="Times New Roman" w:hAnsi="Times New Roman" w:eastAsia="Times New Roman"/>
                <w:b/>
                <w:i w:val="0"/>
                <w:color w:val="000000"/>
                <w:sz w:val="23"/>
              </w:rPr>
              <w:t>Đơn vị cung cấp:</w:t>
            </w:r>
          </w:p>
        </w:tc>
        <w:tc>
          <w:tcPr>
            <w:tcW w:type="dxa" w:w="4535"/>
            <w:tcMar>
              <w:top w:w="45" w:type="dxa"/>
              <w:start w:w="80" w:type="dxa"/>
              <w:bottom w:w="45" w:type="dxa"/>
              <w:end w:w="80" w:type="dxa"/>
            </w:tcMar>
          </w:tcPr>
          <w:p>
            <w:r>
              <w:rPr>
                <w:rFonts w:ascii="Times New Roman" w:hAnsi="Times New Roman" w:eastAsia="Times New Roman"/>
                <w:b w:val="0"/>
                <w:i w:val="0"/>
                <w:color w:val="000000"/>
                <w:sz w:val="23"/>
              </w:rPr>
              <w:t>CÔNG TY TNHH CÔNG NGHỆ VIỆT CORE VIỆT NAM</w:t>
            </w:r>
          </w:p>
        </w:tc>
      </w:tr>
      <w:tr>
        <w:tc>
          <w:tcPr>
            <w:tcW w:type="dxa" w:w="4535"/>
            <w:tcMar>
              <w:top w:w="45" w:type="dxa"/>
              <w:start w:w="80" w:type="dxa"/>
              <w:bottom w:w="45" w:type="dxa"/>
              <w:end w:w="80" w:type="dxa"/>
            </w:tcMar>
          </w:tcPr>
          <w:p>
            <w:r>
              <w:rPr>
                <w:rFonts w:ascii="Times New Roman" w:hAnsi="Times New Roman" w:eastAsia="Times New Roman"/>
                <w:b/>
                <w:i w:val="0"/>
                <w:color w:val="000000"/>
                <w:sz w:val="23"/>
              </w:rPr>
              <w:t>Mã số thuế:</w:t>
            </w:r>
          </w:p>
        </w:tc>
        <w:tc>
          <w:tcPr>
            <w:tcW w:type="dxa" w:w="4535"/>
            <w:tcMar>
              <w:top w:w="45" w:type="dxa"/>
              <w:start w:w="80" w:type="dxa"/>
              <w:bottom w:w="45" w:type="dxa"/>
              <w:end w:w="80" w:type="dxa"/>
            </w:tcMar>
          </w:tcPr>
          <w:p>
            <w:r>
              <w:rPr>
                <w:rFonts w:ascii="Times New Roman" w:hAnsi="Times New Roman" w:eastAsia="Times New Roman"/>
                <w:b w:val="0"/>
                <w:i w:val="0"/>
                <w:color w:val="000000"/>
                <w:sz w:val="23"/>
              </w:rPr>
              <w:t>0319163023</w:t>
            </w:r>
          </w:p>
        </w:tc>
      </w:tr>
      <w:tr>
        <w:tc>
          <w:tcPr>
            <w:tcW w:type="dxa" w:w="4535"/>
            <w:tcMar>
              <w:top w:w="45" w:type="dxa"/>
              <w:start w:w="80" w:type="dxa"/>
              <w:bottom w:w="45" w:type="dxa"/>
              <w:end w:w="80" w:type="dxa"/>
            </w:tcMar>
          </w:tcPr>
          <w:p>
            <w:r>
              <w:rPr>
                <w:rFonts w:ascii="Times New Roman" w:hAnsi="Times New Roman" w:eastAsia="Times New Roman"/>
                <w:b/>
                <w:i w:val="0"/>
                <w:color w:val="000000"/>
                <w:sz w:val="23"/>
              </w:rPr>
              <w:t>Địa chỉ:</w:t>
            </w:r>
          </w:p>
        </w:tc>
        <w:tc>
          <w:tcPr>
            <w:tcW w:type="dxa" w:w="4535"/>
            <w:tcMar>
              <w:top w:w="45" w:type="dxa"/>
              <w:start w:w="80" w:type="dxa"/>
              <w:bottom w:w="45" w:type="dxa"/>
              <w:end w:w="80" w:type="dxa"/>
            </w:tcMar>
          </w:tcPr>
          <w:p>
            <w:r>
              <w:rPr>
                <w:rFonts w:ascii="Times New Roman" w:hAnsi="Times New Roman" w:eastAsia="Times New Roman"/>
                <w:b w:val="0"/>
                <w:i w:val="0"/>
                <w:color w:val="000000"/>
                <w:sz w:val="23"/>
              </w:rPr>
              <w:t>24 đường số 11, CityLand ParkHill, Gò Vấp, TP. Hồ Chí Minh</w:t>
            </w:r>
          </w:p>
        </w:tc>
      </w:tr>
      <w:tr>
        <w:tc>
          <w:tcPr>
            <w:tcW w:type="dxa" w:w="4535"/>
            <w:tcMar>
              <w:top w:w="45" w:type="dxa"/>
              <w:start w:w="80" w:type="dxa"/>
              <w:bottom w:w="45" w:type="dxa"/>
              <w:end w:w="80" w:type="dxa"/>
            </w:tcMar>
          </w:tcPr>
          <w:p>
            <w:r>
              <w:rPr>
                <w:rFonts w:ascii="Times New Roman" w:hAnsi="Times New Roman" w:eastAsia="Times New Roman"/>
                <w:b/>
                <w:i w:val="0"/>
                <w:color w:val="000000"/>
                <w:sz w:val="23"/>
              </w:rPr>
              <w:t>Liên hệ:</w:t>
            </w:r>
          </w:p>
        </w:tc>
        <w:tc>
          <w:tcPr>
            <w:tcW w:type="dxa" w:w="4535"/>
            <w:tcMar>
              <w:top w:w="45" w:type="dxa"/>
              <w:start w:w="80" w:type="dxa"/>
              <w:bottom w:w="45" w:type="dxa"/>
              <w:end w:w="80" w:type="dxa"/>
            </w:tcMar>
          </w:tcPr>
          <w:p>
            <w:r>
              <w:rPr>
                <w:rFonts w:ascii="Times New Roman" w:hAnsi="Times New Roman" w:eastAsia="Times New Roman"/>
                <w:b w:val="0"/>
                <w:i w:val="0"/>
                <w:color w:val="000000"/>
                <w:sz w:val="23"/>
              </w:rPr>
              <w:t>037 599 3345 | tnhhcongnghevietcore@gmail.com</w:t>
            </w:r>
          </w:p>
        </w:tc>
      </w:tr>
    </w:tbl>
    <w:p>
      <w:r>
        <w:br w:type="page"/>
      </w:r>
    </w:p>
    <w:p>
      <w:pPr>
        <w:pStyle w:val="Heading1"/>
        <w:keepNext/>
        <w:spacing w:before="200" w:after="100" w:line="252" w:lineRule="auto"/>
        <w:jc w:val="left"/>
      </w:pPr>
    </w:p>
    <w:p>
      <w:pPr>
        <w:spacing w:line="276" w:lineRule="auto" w:after="120"/>
        <w:ind w:firstLine="567"/>
        <w:jc w:val="both"/>
      </w:pPr>
      <w:r>
        <w:rPr>
          <w:rFonts w:ascii="Times New Roman" w:hAnsi="Times New Roman" w:eastAsia="Times New Roman"/>
          <w:b w:val="0"/>
          <w:i w:val="0"/>
          <w:color w:val="000000"/>
          <w:sz w:val="26"/>
        </w:rPr>
        <w:t>Công ty TNHH Công nghệ Việt Core Việt Nam kính trình Ban Quản lý Trung tâm thương mại hồ sơ thuyết minh máy bắn bi Pinball đổi quà để xem xét phương án tiếp nhận, bố trí, kết nối kỹ thuật và vận hành thiết bị tại khu vực được phê duyệt.</w:t>
      </w:r>
    </w:p>
    <w:p>
      <w:pPr>
        <w:spacing w:line="276" w:lineRule="auto" w:after="120"/>
        <w:ind w:firstLine="567"/>
        <w:jc w:val="both"/>
      </w:pPr>
      <w:r>
        <w:rPr>
          <w:rFonts w:ascii="Times New Roman" w:hAnsi="Times New Roman" w:eastAsia="Times New Roman"/>
          <w:b w:val="0"/>
          <w:i w:val="0"/>
          <w:color w:val="000000"/>
          <w:sz w:val="26"/>
        </w:rPr>
        <w:t>Hồ sơ tập trung vào nhận diện sản phẩm, thông số kỹ thuật, nguyên lý hoạt động, phương thức thanh toán và trả quà, phần mềm quản lý, yêu cầu hạ tầng, biện pháp an toàn, hồ sơ nguồn gốc và hình ảnh đối chiếu thực tế.</w:t>
      </w:r>
    </w:p>
    <w:p>
      <w:pPr>
        <w:pStyle w:val="Heading1"/>
        <w:keepNext/>
        <w:spacing w:before="200" w:after="100" w:line="252" w:lineRule="auto"/>
        <w:jc w:val="left"/>
      </w:pPr>
    </w:p>
    <w:p>
      <w:pPr>
        <w:spacing w:line="276" w:lineRule="auto" w:after="120"/>
        <w:ind w:firstLine="567"/>
        <w:jc w:val="both"/>
      </w:pPr>
      <w:r>
        <w:rPr>
          <w:rFonts w:ascii="Times New Roman" w:hAnsi="Times New Roman" w:eastAsia="Times New Roman"/>
          <w:b w:val="0"/>
          <w:i w:val="0"/>
          <w:color w:val="000000"/>
          <w:sz w:val="26"/>
        </w:rPr>
        <w:t>Bố cục nội dung được sắp xếp theo nhóm thông tin quản lý đối với máy trò chơi điện tử từng được đề cập tại Thông tư số 03/1998/TT-BVHTT ngày 22/6/1998. Thông tư này đã được Thông tư số 08/2000/TT-BVHTT thay thế từ ngày 01/6/2000; vì vậy hồ sơ không sử dụng Thông tư 03/1998/TT-BVHTT như căn cứ hiệu lực hiện hành.</w:t>
      </w:r>
    </w:p>
    <w:p>
      <w:pPr>
        <w:spacing w:line="276" w:lineRule="auto" w:after="120"/>
        <w:ind w:firstLine="567"/>
        <w:jc w:val="both"/>
      </w:pPr>
      <w:r>
        <w:rPr>
          <w:rFonts w:ascii="Times New Roman" w:hAnsi="Times New Roman" w:eastAsia="Times New Roman"/>
          <w:b w:val="0"/>
          <w:i w:val="0"/>
          <w:color w:val="000000"/>
          <w:sz w:val="26"/>
        </w:rPr>
        <w:t>Thể thức trình bày văn bản áp dụng khổ A4, phông Times New Roman và định lề theo Phụ lục I Nghị định số 30/2020/NĐ-CP ngày 05/3/2020 về công tác văn thư. Việc chấp thuận lắp đặt, thành phần chứng từ và yêu cầu kỹ thuật cuối cùng thực hiện theo quy định hiện hành, nội quy của trung tâm thương mại và yêu cầu của cơ quan quản lý tại địa phương.</w:t>
      </w:r>
    </w:p>
    <w:p>
      <w:pPr>
        <w:pStyle w:val="Heading1"/>
        <w:keepNext/>
        <w:spacing w:before="200" w:after="100" w:line="252" w:lineRule="auto"/>
        <w:jc w:val="left"/>
      </w:pPr>
    </w:p>
    <w:p>
      <w:pPr>
        <w:pStyle w:val="ListBullet"/>
        <w:spacing w:line="269" w:lineRule="auto" w:after="60"/>
        <w:ind w:left="425" w:hanging="198"/>
      </w:pPr>
      <w:r>
        <w:rPr>
          <w:rFonts w:ascii="Times New Roman" w:hAnsi="Times New Roman" w:eastAsia="Times New Roman"/>
          <w:b w:val="0"/>
          <w:i w:val="0"/>
          <w:color w:val="000000"/>
          <w:sz w:val="26"/>
        </w:rPr>
        <w:t>Thông tin nhận diện thiết bị và đơn vị cung cấp.</w:t>
      </w:r>
    </w:p>
    <w:p>
      <w:pPr>
        <w:pStyle w:val="ListBullet"/>
        <w:spacing w:line="269" w:lineRule="auto" w:after="60"/>
        <w:ind w:left="425" w:hanging="198"/>
      </w:pPr>
      <w:r>
        <w:rPr>
          <w:rFonts w:ascii="Times New Roman" w:hAnsi="Times New Roman" w:eastAsia="Times New Roman"/>
          <w:b w:val="0"/>
          <w:i w:val="0"/>
          <w:color w:val="000000"/>
          <w:sz w:val="26"/>
        </w:rPr>
        <w:t>Mô tả chức năng, nguyên lý chơi và cơ chế đổi quà.</w:t>
      </w:r>
    </w:p>
    <w:p>
      <w:pPr>
        <w:pStyle w:val="ListBullet"/>
        <w:spacing w:line="269" w:lineRule="auto" w:after="60"/>
        <w:ind w:left="425" w:hanging="198"/>
      </w:pPr>
      <w:r>
        <w:rPr>
          <w:rFonts w:ascii="Times New Roman" w:hAnsi="Times New Roman" w:eastAsia="Times New Roman"/>
          <w:b w:val="0"/>
          <w:i w:val="0"/>
          <w:color w:val="000000"/>
          <w:sz w:val="26"/>
        </w:rPr>
        <w:t>Thông số kỹ thuật và yêu cầu hạ tầng lắp đặt.</w:t>
      </w:r>
    </w:p>
    <w:p>
      <w:pPr>
        <w:pStyle w:val="ListBullet"/>
        <w:spacing w:line="269" w:lineRule="auto" w:after="60"/>
        <w:ind w:left="425" w:hanging="198"/>
      </w:pPr>
      <w:r>
        <w:rPr>
          <w:rFonts w:ascii="Times New Roman" w:hAnsi="Times New Roman" w:eastAsia="Times New Roman"/>
          <w:b w:val="0"/>
          <w:i w:val="0"/>
          <w:color w:val="000000"/>
          <w:sz w:val="26"/>
        </w:rPr>
        <w:t>Hệ thống thanh toán và phần mềm quản lý vận hành.</w:t>
      </w:r>
    </w:p>
    <w:p>
      <w:pPr>
        <w:pStyle w:val="ListBullet"/>
        <w:spacing w:line="269" w:lineRule="auto" w:after="60"/>
        <w:ind w:left="425" w:hanging="198"/>
      </w:pPr>
      <w:r>
        <w:rPr>
          <w:rFonts w:ascii="Times New Roman" w:hAnsi="Times New Roman" w:eastAsia="Times New Roman"/>
          <w:b w:val="0"/>
          <w:i w:val="0"/>
          <w:color w:val="000000"/>
          <w:sz w:val="26"/>
        </w:rPr>
        <w:t>Phương án bố trí, vận hành, an toàn và xử lý sự cố.</w:t>
      </w:r>
    </w:p>
    <w:p>
      <w:pPr>
        <w:pStyle w:val="ListBullet"/>
        <w:spacing w:line="269" w:lineRule="auto" w:after="60"/>
        <w:ind w:left="425" w:hanging="198"/>
      </w:pPr>
      <w:r>
        <w:rPr>
          <w:rFonts w:ascii="Times New Roman" w:hAnsi="Times New Roman" w:eastAsia="Times New Roman"/>
          <w:b w:val="0"/>
          <w:i w:val="0"/>
          <w:color w:val="000000"/>
          <w:sz w:val="26"/>
        </w:rPr>
        <w:t>Tình trạng hồ sơ pháp lý, chứng từ và danh mục cần đính kèm.</w:t>
      </w:r>
    </w:p>
    <w:p>
      <w:pPr>
        <w:pStyle w:val="ListBullet"/>
        <w:spacing w:line="269" w:lineRule="auto" w:after="60"/>
        <w:ind w:left="425" w:hanging="198"/>
      </w:pPr>
      <w:r>
        <w:rPr>
          <w:rFonts w:ascii="Times New Roman" w:hAnsi="Times New Roman" w:eastAsia="Times New Roman"/>
          <w:b w:val="0"/>
          <w:i w:val="0"/>
          <w:color w:val="000000"/>
          <w:sz w:val="26"/>
        </w:rPr>
        <w:t>Ảnh mô phỏng kích thước và ảnh thực tế của thiết bị.</w:t>
      </w:r>
    </w:p>
    <w:p>
      <w:r>
        <w:br w:type="page"/>
      </w:r>
    </w:p>
    <w:p>
      <w:pPr>
        <w:pStyle w:val="Heading1"/>
        <w:keepNext/>
        <w:spacing w:before="200" w:after="100" w:line="252" w:lineRule="auto"/>
        <w:jc w:val="left"/>
      </w:pPr>
    </w:p>
    <w:tbl>
      <w:tblPr>
        <w:tblW w:type="auto" w:w="0"/>
        <w:jc w:val="center"/>
        <w:tblLayout w:type="fixed"/>
        <w:tblLook w:firstColumn="1" w:firstRow="1" w:lastColumn="0" w:lastRow="0" w:noHBand="0" w:noVBand="1" w:val="04A0"/>
      </w:tblPr>
      <w:tblGrid>
        <w:gridCol w:w="4535"/>
        <w:gridCol w:w="4535"/>
      </w:tblGrid>
      <w:tr>
        <w:trPr>
          <w:tblHeader w:val="true"/>
        </w:trPr>
        <w:tc>
          <w:tcPr>
            <w:tcW w:type="dxa" w:w="2835"/>
            <w:shd w:fill="1F4E7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jc w:val="center"/>
            </w:pPr>
            <w:r>
              <w:rPr>
                <w:rFonts w:ascii="Times New Roman" w:hAnsi="Times New Roman" w:eastAsia="Times New Roman"/>
                <w:b/>
                <w:i w:val="0"/>
                <w:color w:val="FFFFFF"/>
                <w:sz w:val="23"/>
              </w:rPr>
              <w:t>Hạng mục</w:t>
            </w:r>
          </w:p>
        </w:tc>
        <w:tc>
          <w:tcPr>
            <w:tcW w:type="dxa" w:w="6066"/>
            <w:shd w:fill="1F4E7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jc w:val="center"/>
            </w:pPr>
            <w:r>
              <w:rPr>
                <w:rFonts w:ascii="Times New Roman" w:hAnsi="Times New Roman" w:eastAsia="Times New Roman"/>
                <w:b/>
                <w:i w:val="0"/>
                <w:color w:val="FFFFFF"/>
                <w:sz w:val="23"/>
              </w:rPr>
              <w:t>Thông tin</w:t>
            </w:r>
          </w:p>
        </w:tc>
      </w:tr>
      <w:tr>
        <w:tc>
          <w:tcPr>
            <w:tcW w:type="dxa" w:w="283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3"/>
              </w:rPr>
              <w:t>Tên thiết bị</w:t>
            </w:r>
          </w:p>
        </w:tc>
        <w:tc>
          <w:tcPr>
            <w:tcW w:type="dxa" w:w="606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3"/>
              </w:rPr>
              <w:t>Máy bắn bi Pinball đổi quà</w:t>
            </w:r>
          </w:p>
        </w:tc>
      </w:tr>
      <w:tr>
        <w:tc>
          <w:tcPr>
            <w:tcW w:type="dxa" w:w="283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3"/>
              </w:rPr>
              <w:t>Tên hiển thị trên máy</w:t>
            </w:r>
          </w:p>
        </w:tc>
        <w:tc>
          <w:tcPr>
            <w:tcW w:type="dxa" w:w="606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3"/>
              </w:rPr>
              <w:t>BONBO PINBALL</w:t>
            </w:r>
          </w:p>
        </w:tc>
      </w:tr>
      <w:tr>
        <w:tc>
          <w:tcPr>
            <w:tcW w:type="dxa" w:w="283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3"/>
              </w:rPr>
              <w:t>Loại hình</w:t>
            </w:r>
          </w:p>
        </w:tc>
        <w:tc>
          <w:tcPr>
            <w:tcW w:type="dxa" w:w="606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3"/>
              </w:rPr>
              <w:t>Thiết bị trò chơi giải trí điện tử có tích lũy điểm và đổi quà hiện vật</w:t>
            </w:r>
          </w:p>
        </w:tc>
      </w:tr>
      <w:tr>
        <w:tc>
          <w:tcPr>
            <w:tcW w:type="dxa" w:w="283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3"/>
              </w:rPr>
              <w:t>Xuất xứ</w:t>
            </w:r>
          </w:p>
        </w:tc>
        <w:tc>
          <w:tcPr>
            <w:tcW w:type="dxa" w:w="606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3"/>
              </w:rPr>
              <w:t>Trung Quốc; hàng nhập khẩu chính ngạch theo hồ sơ do nhà cung cấp xuất trình</w:t>
            </w:r>
          </w:p>
        </w:tc>
      </w:tr>
      <w:tr>
        <w:tc>
          <w:tcPr>
            <w:tcW w:type="dxa" w:w="283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3"/>
              </w:rPr>
              <w:t>Đơn vị cung cấp</w:t>
            </w:r>
          </w:p>
        </w:tc>
        <w:tc>
          <w:tcPr>
            <w:tcW w:type="dxa" w:w="606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3"/>
              </w:rPr>
              <w:t>Công ty TNHH Công nghệ Việt Core Việt Nam</w:t>
            </w:r>
          </w:p>
        </w:tc>
      </w:tr>
      <w:tr>
        <w:tc>
          <w:tcPr>
            <w:tcW w:type="dxa" w:w="283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3"/>
              </w:rPr>
              <w:t>Đối tượng sử dụng</w:t>
            </w:r>
          </w:p>
        </w:tc>
        <w:tc>
          <w:tcPr>
            <w:tcW w:type="dxa" w:w="606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3"/>
              </w:rPr>
              <w:t>Khách hàng tại khu vui chơi, khu giải trí và khu vực dịch vụ trong trung tâm thương mại</w:t>
            </w:r>
          </w:p>
        </w:tc>
      </w:tr>
      <w:tr>
        <w:tc>
          <w:tcPr>
            <w:tcW w:type="dxa" w:w="283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3"/>
              </w:rPr>
              <w:t>Số lượng đề xuất</w:t>
            </w:r>
          </w:p>
        </w:tc>
        <w:tc>
          <w:tcPr>
            <w:tcW w:type="dxa" w:w="606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3"/>
              </w:rPr>
              <w:t>…… máy</w:t>
            </w:r>
          </w:p>
        </w:tc>
      </w:tr>
      <w:tr>
        <w:tc>
          <w:tcPr>
            <w:tcW w:type="dxa" w:w="283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3"/>
              </w:rPr>
              <w:t>Vị trí đề xuất</w:t>
            </w:r>
          </w:p>
        </w:tc>
        <w:tc>
          <w:tcPr>
            <w:tcW w:type="dxa" w:w="606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3"/>
              </w:rPr>
              <w:t>Tầng/khu vực: …………………………………………………………………</w:t>
            </w:r>
          </w:p>
        </w:tc>
      </w:tr>
      <w:tr>
        <w:tc>
          <w:tcPr>
            <w:tcW w:type="dxa" w:w="283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3"/>
              </w:rPr>
              <w:t>Mã model / số seri</w:t>
            </w:r>
          </w:p>
        </w:tc>
        <w:tc>
          <w:tcPr>
            <w:tcW w:type="dxa" w:w="606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3"/>
              </w:rPr>
              <w:t>Bổ sung theo tem nhãn của từng máy trước khi bàn giao</w:t>
            </w:r>
          </w:p>
        </w:tc>
      </w:tr>
    </w:tbl>
    <w:p>
      <w:pPr>
        <w:spacing w:after="20"/>
      </w:pPr>
    </w:p>
    <w:p>
      <w:pPr>
        <w:pStyle w:val="Heading1"/>
        <w:keepNext/>
        <w:spacing w:before="200" w:after="100" w:line="252" w:lineRule="auto"/>
        <w:jc w:val="left"/>
      </w:pPr>
    </w:p>
    <w:p>
      <w:pPr>
        <w:spacing w:line="276" w:lineRule="auto" w:after="120"/>
        <w:ind w:firstLine="567"/>
        <w:jc w:val="both"/>
      </w:pPr>
      <w:r>
        <w:rPr>
          <w:rFonts w:ascii="Times New Roman" w:hAnsi="Times New Roman" w:eastAsia="Times New Roman"/>
          <w:b w:val="0"/>
          <w:i w:val="0"/>
          <w:color w:val="000000"/>
          <w:sz w:val="26"/>
        </w:rPr>
        <w:t>Máy bắn bi Pinball là thiết bị vui chơi giải trí kết hợp thao tác bắn bi, ghi nhận điểm và đổi quà. Người chơi thanh toán để nhận lượt chơi, sử dụng cần bắn bi, theo dõi kết quả trên bộ hiển thị điểm và dùng tổng điểm đạt được để nhận quà theo bảng điểm được công bố trên máy.</w:t>
      </w:r>
    </w:p>
    <w:p>
      <w:pPr>
        <w:spacing w:line="276" w:lineRule="auto" w:after="120"/>
        <w:ind w:firstLine="567"/>
        <w:jc w:val="both"/>
      </w:pPr>
      <w:r>
        <w:rPr>
          <w:rFonts w:ascii="Times New Roman" w:hAnsi="Times New Roman" w:eastAsia="Times New Roman"/>
          <w:b w:val="0"/>
          <w:i w:val="0"/>
          <w:color w:val="000000"/>
          <w:sz w:val="26"/>
        </w:rPr>
        <w:t>Thiết bị có chín ngăn trưng bày quà. Mỗi ngăn được gắn mức điểm tương ứng; khi đủ điểm, người chơi lựa chọn ngăn quà và hệ thống mở ngăn để nhận quà. Mô hình vận hành tự phục vụ giúp giảm thao tác thu tiền và trả quà trực tiếp của nhân viên.</w:t>
      </w:r>
    </w:p>
    <w:p>
      <w:pPr>
        <w:spacing w:line="276" w:lineRule="auto" w:after="120"/>
        <w:ind w:firstLine="567"/>
        <w:jc w:val="both"/>
      </w:pPr>
      <w:r>
        <w:rPr>
          <w:rFonts w:ascii="Times New Roman" w:hAnsi="Times New Roman" w:eastAsia="Times New Roman"/>
          <w:b w:val="0"/>
          <w:i w:val="0"/>
          <w:color w:val="000000"/>
          <w:sz w:val="26"/>
        </w:rPr>
        <w:t>Nguyên tắc vận hành đề xuất tại trung tâm thương mại: điểm thưởng chỉ dùng đổi quà hiện vật theo bảng điểm; không quy đổi thành tiền mặt; không tổ chức đặt cược; nội dung và hình ảnh trên máy phù hợp hoạt động vui chơi giải trí lành mạnh.</w:t>
      </w:r>
    </w:p>
    <w:p>
      <w:r>
        <w:br w:type="page"/>
      </w:r>
    </w:p>
    <w:p>
      <w:pPr>
        <w:pStyle w:val="Heading1"/>
        <w:keepNext/>
        <w:spacing w:before="200" w:after="100" w:line="252" w:lineRule="auto"/>
        <w:jc w:val="left"/>
      </w:pPr>
    </w:p>
    <w:tbl>
      <w:tblPr>
        <w:tblW w:type="auto" w:w="0"/>
        <w:jc w:val="center"/>
        <w:tblLayout w:type="fixed"/>
        <w:tblLook w:firstColumn="1" w:firstRow="1" w:lastColumn="0" w:lastRow="0" w:noHBand="0" w:noVBand="1" w:val="04A0"/>
      </w:tblPr>
      <w:tblGrid>
        <w:gridCol w:w="3024"/>
        <w:gridCol w:w="3024"/>
        <w:gridCol w:w="3024"/>
      </w:tblGrid>
      <w:tr>
        <w:trPr>
          <w:tblHeader w:val="true"/>
        </w:trPr>
        <w:tc>
          <w:tcPr>
            <w:tcW w:type="dxa" w:w="680"/>
            <w:shd w:fill="1F4E7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jc w:val="center"/>
            </w:pPr>
            <w:r>
              <w:rPr>
                <w:rFonts w:ascii="Times New Roman" w:hAnsi="Times New Roman" w:eastAsia="Times New Roman"/>
                <w:b/>
                <w:i w:val="0"/>
                <w:color w:val="FFFFFF"/>
                <w:sz w:val="21"/>
              </w:rPr>
              <w:t>STT</w:t>
            </w:r>
          </w:p>
        </w:tc>
        <w:tc>
          <w:tcPr>
            <w:tcW w:type="dxa" w:w="2835"/>
            <w:shd w:fill="1F4E7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jc w:val="center"/>
            </w:pPr>
            <w:r>
              <w:rPr>
                <w:rFonts w:ascii="Times New Roman" w:hAnsi="Times New Roman" w:eastAsia="Times New Roman"/>
                <w:b/>
                <w:i w:val="0"/>
                <w:color w:val="FFFFFF"/>
                <w:sz w:val="21"/>
              </w:rPr>
              <w:t>Thông số</w:t>
            </w:r>
          </w:p>
        </w:tc>
        <w:tc>
          <w:tcPr>
            <w:tcW w:type="dxa" w:w="5386"/>
            <w:shd w:fill="1F4E7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jc w:val="center"/>
            </w:pPr>
            <w:r>
              <w:rPr>
                <w:rFonts w:ascii="Times New Roman" w:hAnsi="Times New Roman" w:eastAsia="Times New Roman"/>
                <w:b/>
                <w:i w:val="0"/>
                <w:color w:val="FFFFFF"/>
                <w:sz w:val="21"/>
              </w:rPr>
              <w:t>Giá trị / mô tả</w:t>
            </w:r>
          </w:p>
        </w:tc>
      </w:tr>
      <w:tr>
        <w:tc>
          <w:tcPr>
            <w:tcW w:type="dxa" w:w="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center"/>
            </w:pPr>
            <w:r>
              <w:rPr>
                <w:rFonts w:ascii="Times New Roman" w:hAnsi="Times New Roman" w:eastAsia="Times New Roman"/>
                <w:b w:val="0"/>
                <w:i w:val="0"/>
                <w:color w:val="000000"/>
                <w:sz w:val="21"/>
              </w:rPr>
              <w:t>1</w:t>
            </w:r>
          </w:p>
        </w:tc>
        <w:tc>
          <w:tcPr>
            <w:tcW w:type="dxa" w:w="283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Kích thước thân máy</w:t>
            </w:r>
          </w:p>
        </w:tc>
        <w:tc>
          <w:tcPr>
            <w:tcW w:type="dxa" w:w="538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Rộng 510 mm x sâu 778 mm x cao 1.700 mm</w:t>
            </w:r>
          </w:p>
        </w:tc>
      </w:tr>
      <w:tr>
        <w:tc>
          <w:tcPr>
            <w:tcW w:type="dxa" w:w="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center"/>
            </w:pPr>
            <w:r>
              <w:rPr>
                <w:rFonts w:ascii="Times New Roman" w:hAnsi="Times New Roman" w:eastAsia="Times New Roman"/>
                <w:b w:val="0"/>
                <w:i w:val="0"/>
                <w:color w:val="000000"/>
                <w:sz w:val="21"/>
              </w:rPr>
              <w:t>2</w:t>
            </w:r>
          </w:p>
        </w:tc>
        <w:tc>
          <w:tcPr>
            <w:tcW w:type="dxa" w:w="283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Diện tích chiếm chỗ thân máy</w:t>
            </w:r>
          </w:p>
        </w:tc>
        <w:tc>
          <w:tcPr>
            <w:tcW w:type="dxa" w:w="538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Khoảng 0,40 m²</w:t>
            </w:r>
          </w:p>
        </w:tc>
      </w:tr>
      <w:tr>
        <w:tc>
          <w:tcPr>
            <w:tcW w:type="dxa" w:w="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center"/>
            </w:pPr>
            <w:r>
              <w:rPr>
                <w:rFonts w:ascii="Times New Roman" w:hAnsi="Times New Roman" w:eastAsia="Times New Roman"/>
                <w:b w:val="0"/>
                <w:i w:val="0"/>
                <w:color w:val="000000"/>
                <w:sz w:val="21"/>
              </w:rPr>
              <w:t>3</w:t>
            </w:r>
          </w:p>
        </w:tc>
        <w:tc>
          <w:tcPr>
            <w:tcW w:type="dxa" w:w="283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Diện tích vận hành khuyến nghị</w:t>
            </w:r>
          </w:p>
        </w:tc>
        <w:tc>
          <w:tcPr>
            <w:tcW w:type="dxa" w:w="538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Khoảng 1 m²/máy, bao gồm ghế và vùng thao tác; chưa bao gồm lối đi chung theo yêu cầu TTTM</w:t>
            </w:r>
          </w:p>
        </w:tc>
      </w:tr>
      <w:tr>
        <w:tc>
          <w:tcPr>
            <w:tcW w:type="dxa" w:w="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center"/>
            </w:pPr>
            <w:r>
              <w:rPr>
                <w:rFonts w:ascii="Times New Roman" w:hAnsi="Times New Roman" w:eastAsia="Times New Roman"/>
                <w:b w:val="0"/>
                <w:i w:val="0"/>
                <w:color w:val="000000"/>
                <w:sz w:val="21"/>
              </w:rPr>
              <w:t>4</w:t>
            </w:r>
          </w:p>
        </w:tc>
        <w:tc>
          <w:tcPr>
            <w:tcW w:type="dxa" w:w="283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Trọng lượng</w:t>
            </w:r>
          </w:p>
        </w:tc>
        <w:tc>
          <w:tcPr>
            <w:tcW w:type="dxa" w:w="538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Khoảng 60 kg/máy</w:t>
            </w:r>
          </w:p>
        </w:tc>
      </w:tr>
      <w:tr>
        <w:tc>
          <w:tcPr>
            <w:tcW w:type="dxa" w:w="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center"/>
            </w:pPr>
            <w:r>
              <w:rPr>
                <w:rFonts w:ascii="Times New Roman" w:hAnsi="Times New Roman" w:eastAsia="Times New Roman"/>
                <w:b w:val="0"/>
                <w:i w:val="0"/>
                <w:color w:val="000000"/>
                <w:sz w:val="21"/>
              </w:rPr>
              <w:t>5</w:t>
            </w:r>
          </w:p>
        </w:tc>
        <w:tc>
          <w:tcPr>
            <w:tcW w:type="dxa" w:w="283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Tải trọng phân bố tham khảo</w:t>
            </w:r>
          </w:p>
        </w:tc>
        <w:tc>
          <w:tcPr>
            <w:tcW w:type="dxa" w:w="538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Khoảng 151 kg/m² trên diện tích đáy máy; chưa bao gồm người chơi và ghế</w:t>
            </w:r>
          </w:p>
        </w:tc>
      </w:tr>
      <w:tr>
        <w:tc>
          <w:tcPr>
            <w:tcW w:type="dxa" w:w="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center"/>
            </w:pPr>
            <w:r>
              <w:rPr>
                <w:rFonts w:ascii="Times New Roman" w:hAnsi="Times New Roman" w:eastAsia="Times New Roman"/>
                <w:b w:val="0"/>
                <w:i w:val="0"/>
                <w:color w:val="000000"/>
                <w:sz w:val="21"/>
              </w:rPr>
              <w:t>6</w:t>
            </w:r>
          </w:p>
        </w:tc>
        <w:tc>
          <w:tcPr>
            <w:tcW w:type="dxa" w:w="283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Nguồn điện</w:t>
            </w:r>
          </w:p>
        </w:tc>
        <w:tc>
          <w:tcPr>
            <w:tcW w:type="dxa" w:w="538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220 V AC</w:t>
            </w:r>
          </w:p>
        </w:tc>
      </w:tr>
      <w:tr>
        <w:tc>
          <w:tcPr>
            <w:tcW w:type="dxa" w:w="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center"/>
            </w:pPr>
            <w:r>
              <w:rPr>
                <w:rFonts w:ascii="Times New Roman" w:hAnsi="Times New Roman" w:eastAsia="Times New Roman"/>
                <w:b w:val="0"/>
                <w:i w:val="0"/>
                <w:color w:val="000000"/>
                <w:sz w:val="21"/>
              </w:rPr>
              <w:t>7</w:t>
            </w:r>
          </w:p>
        </w:tc>
        <w:tc>
          <w:tcPr>
            <w:tcW w:type="dxa" w:w="283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Công suất tiêu thụ</w:t>
            </w:r>
          </w:p>
        </w:tc>
        <w:tc>
          <w:tcPr>
            <w:tcW w:type="dxa" w:w="538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100-120 W/máy</w:t>
            </w:r>
          </w:p>
        </w:tc>
      </w:tr>
      <w:tr>
        <w:tc>
          <w:tcPr>
            <w:tcW w:type="dxa" w:w="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center"/>
            </w:pPr>
            <w:r>
              <w:rPr>
                <w:rFonts w:ascii="Times New Roman" w:hAnsi="Times New Roman" w:eastAsia="Times New Roman"/>
                <w:b w:val="0"/>
                <w:i w:val="0"/>
                <w:color w:val="000000"/>
                <w:sz w:val="21"/>
              </w:rPr>
              <w:t>8</w:t>
            </w:r>
          </w:p>
        </w:tc>
        <w:tc>
          <w:tcPr>
            <w:tcW w:type="dxa" w:w="283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Vật liệu thân máy</w:t>
            </w:r>
          </w:p>
        </w:tc>
        <w:tc>
          <w:tcPr>
            <w:tcW w:type="dxa" w:w="538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Nhựa và các cụm linh kiện điện - điện tử; đặc tính chống cháy cần đối chiếu chứng từ nhà sản xuất nếu TTTM yêu cầu</w:t>
            </w:r>
          </w:p>
        </w:tc>
      </w:tr>
      <w:tr>
        <w:tc>
          <w:tcPr>
            <w:tcW w:type="dxa" w:w="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center"/>
            </w:pPr>
            <w:r>
              <w:rPr>
                <w:rFonts w:ascii="Times New Roman" w:hAnsi="Times New Roman" w:eastAsia="Times New Roman"/>
                <w:b w:val="0"/>
                <w:i w:val="0"/>
                <w:color w:val="000000"/>
                <w:sz w:val="21"/>
              </w:rPr>
              <w:t>9</w:t>
            </w:r>
          </w:p>
        </w:tc>
        <w:tc>
          <w:tcPr>
            <w:tcW w:type="dxa" w:w="283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Số ngăn quà</w:t>
            </w:r>
          </w:p>
        </w:tc>
        <w:tc>
          <w:tcPr>
            <w:tcW w:type="dxa" w:w="538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09 ngăn</w:t>
            </w:r>
          </w:p>
        </w:tc>
      </w:tr>
      <w:tr>
        <w:tc>
          <w:tcPr>
            <w:tcW w:type="dxa" w:w="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center"/>
            </w:pPr>
            <w:r>
              <w:rPr>
                <w:rFonts w:ascii="Times New Roman" w:hAnsi="Times New Roman" w:eastAsia="Times New Roman"/>
                <w:b w:val="0"/>
                <w:i w:val="0"/>
                <w:color w:val="000000"/>
                <w:sz w:val="21"/>
              </w:rPr>
              <w:t>10</w:t>
            </w:r>
          </w:p>
        </w:tc>
        <w:tc>
          <w:tcPr>
            <w:tcW w:type="dxa" w:w="283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Hiển thị</w:t>
            </w:r>
          </w:p>
        </w:tc>
        <w:tc>
          <w:tcPr>
            <w:tcW w:type="dxa" w:w="538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Bảng điểm điện tử và đèn LED</w:t>
            </w:r>
          </w:p>
        </w:tc>
      </w:tr>
      <w:tr>
        <w:tc>
          <w:tcPr>
            <w:tcW w:type="dxa" w:w="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center"/>
            </w:pPr>
            <w:r>
              <w:rPr>
                <w:rFonts w:ascii="Times New Roman" w:hAnsi="Times New Roman" w:eastAsia="Times New Roman"/>
                <w:b w:val="0"/>
                <w:i w:val="0"/>
                <w:color w:val="000000"/>
                <w:sz w:val="21"/>
              </w:rPr>
              <w:t>11</w:t>
            </w:r>
          </w:p>
        </w:tc>
        <w:tc>
          <w:tcPr>
            <w:tcW w:type="dxa" w:w="283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Kết nối</w:t>
            </w:r>
          </w:p>
        </w:tc>
        <w:tc>
          <w:tcPr>
            <w:tcW w:type="dxa" w:w="538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Có kết nối mạng phục vụ thanh toán QR và quản lý từ xa</w:t>
            </w:r>
          </w:p>
        </w:tc>
      </w:tr>
      <w:tr>
        <w:tc>
          <w:tcPr>
            <w:tcW w:type="dxa" w:w="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center"/>
            </w:pPr>
            <w:r>
              <w:rPr>
                <w:rFonts w:ascii="Times New Roman" w:hAnsi="Times New Roman" w:eastAsia="Times New Roman"/>
                <w:b w:val="0"/>
                <w:i w:val="0"/>
                <w:color w:val="000000"/>
                <w:sz w:val="21"/>
              </w:rPr>
              <w:t>12</w:t>
            </w:r>
          </w:p>
        </w:tc>
        <w:tc>
          <w:tcPr>
            <w:tcW w:type="dxa" w:w="283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Phương thức thanh toán</w:t>
            </w:r>
          </w:p>
        </w:tc>
        <w:tc>
          <w:tcPr>
            <w:tcW w:type="dxa" w:w="538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Tiền mặt và chuyển khoản bằng mã QR</w:t>
            </w:r>
          </w:p>
        </w:tc>
      </w:tr>
      <w:tr>
        <w:tc>
          <w:tcPr>
            <w:tcW w:type="dxa" w:w="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center"/>
            </w:pPr>
            <w:r>
              <w:rPr>
                <w:rFonts w:ascii="Times New Roman" w:hAnsi="Times New Roman" w:eastAsia="Times New Roman"/>
                <w:b w:val="0"/>
                <w:i w:val="0"/>
                <w:color w:val="000000"/>
                <w:sz w:val="21"/>
              </w:rPr>
              <w:t>13</w:t>
            </w:r>
          </w:p>
        </w:tc>
        <w:tc>
          <w:tcPr>
            <w:tcW w:type="dxa" w:w="283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Phụ kiện kèm theo</w:t>
            </w:r>
          </w:p>
        </w:tc>
        <w:tc>
          <w:tcPr>
            <w:tcW w:type="dxa" w:w="538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01 ghế ngồi chơi/máy</w:t>
            </w:r>
          </w:p>
        </w:tc>
      </w:tr>
      <w:tr>
        <w:tc>
          <w:tcPr>
            <w:tcW w:type="dxa" w:w="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center"/>
            </w:pPr>
            <w:r>
              <w:rPr>
                <w:rFonts w:ascii="Times New Roman" w:hAnsi="Times New Roman" w:eastAsia="Times New Roman"/>
                <w:b w:val="0"/>
                <w:i w:val="0"/>
                <w:color w:val="000000"/>
                <w:sz w:val="21"/>
              </w:rPr>
              <w:t>14</w:t>
            </w:r>
          </w:p>
        </w:tc>
        <w:tc>
          <w:tcPr>
            <w:tcW w:type="dxa" w:w="283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Điều kiện môi trường</w:t>
            </w:r>
          </w:p>
        </w:tc>
        <w:tc>
          <w:tcPr>
            <w:tcW w:type="dxa" w:w="538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Lắp đặt trong nhà, khu vực khô ráo, thông thoáng, tránh nước và nguồn nhiệt trực tiếp</w:t>
            </w:r>
          </w:p>
        </w:tc>
      </w:tr>
    </w:tbl>
    <w:p>
      <w:pPr>
        <w:spacing w:after="20"/>
      </w:pPr>
    </w:p>
    <w:p>
      <w:pPr>
        <w:pStyle w:val="Heading1"/>
        <w:keepNext/>
        <w:spacing w:before="200" w:after="100" w:line="252" w:lineRule="auto"/>
        <w:jc w:val="left"/>
      </w:pPr>
    </w:p>
    <w:tbl>
      <w:tblPr>
        <w:tblW w:type="auto" w:w="0"/>
        <w:jc w:val="center"/>
        <w:tblLayout w:type="fixed"/>
        <w:tblLook w:firstColumn="1" w:firstRow="1" w:lastColumn="0" w:lastRow="0" w:noHBand="0" w:noVBand="1" w:val="04A0"/>
      </w:tblPr>
      <w:tblGrid>
        <w:gridCol w:w="4535"/>
        <w:gridCol w:w="4535"/>
      </w:tblGrid>
      <w:tr>
        <w:trPr>
          <w:tblHeader w:val="true"/>
        </w:trPr>
        <w:tc>
          <w:tcPr>
            <w:tcW w:type="dxa" w:w="2494"/>
            <w:shd w:fill="1F4E7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jc w:val="center"/>
            </w:pPr>
            <w:r>
              <w:rPr>
                <w:rFonts w:ascii="Times New Roman" w:hAnsi="Times New Roman" w:eastAsia="Times New Roman"/>
                <w:b/>
                <w:i w:val="0"/>
                <w:color w:val="FFFFFF"/>
                <w:sz w:val="22"/>
              </w:rPr>
              <w:t>Hạng mục</w:t>
            </w:r>
          </w:p>
        </w:tc>
        <w:tc>
          <w:tcPr>
            <w:tcW w:type="dxa" w:w="6406"/>
            <w:shd w:fill="1F4E7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jc w:val="center"/>
            </w:pPr>
            <w:r>
              <w:rPr>
                <w:rFonts w:ascii="Times New Roman" w:hAnsi="Times New Roman" w:eastAsia="Times New Roman"/>
                <w:b/>
                <w:i w:val="0"/>
                <w:color w:val="FFFFFF"/>
                <w:sz w:val="22"/>
              </w:rPr>
              <w:t>Yêu cầu đề xuất</w:t>
            </w:r>
          </w:p>
        </w:tc>
      </w:tr>
      <w:tr>
        <w:tc>
          <w:tcPr>
            <w:tcW w:type="dxa" w:w="249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2"/>
              </w:rPr>
              <w:t>Nguồn điện</w:t>
            </w:r>
          </w:p>
        </w:tc>
        <w:tc>
          <w:tcPr>
            <w:tcW w:type="dxa" w:w="640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2"/>
              </w:rPr>
              <w:t>01 ổ cắm 220 V/máy; hệ thống ổ cắm, tiếp địa và bảo vệ rò điện tuân theo tiêu chuẩn kỹ thuật của TTTM.</w:t>
            </w:r>
          </w:p>
        </w:tc>
      </w:tr>
      <w:tr>
        <w:tc>
          <w:tcPr>
            <w:tcW w:type="dxa" w:w="249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2"/>
              </w:rPr>
              <w:t>Mạng dữ liệu</w:t>
            </w:r>
          </w:p>
        </w:tc>
        <w:tc>
          <w:tcPr>
            <w:tcW w:type="dxa" w:w="640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2"/>
              </w:rPr>
              <w:t>Kết nối Internet ổn định bằng giải pháp được TTTM chấp thuận để phục vụ thanh toán và đồng bộ dữ liệu.</w:t>
            </w:r>
          </w:p>
        </w:tc>
      </w:tr>
      <w:tr>
        <w:tc>
          <w:tcPr>
            <w:tcW w:type="dxa" w:w="249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2"/>
              </w:rPr>
              <w:t>Mặt bằng</w:t>
            </w:r>
          </w:p>
        </w:tc>
        <w:tc>
          <w:tcPr>
            <w:tcW w:type="dxa" w:w="640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2"/>
              </w:rPr>
              <w:t>Nền phẳng, khô ráo, chịu tải phù hợp; không chắn lối thoát hiểm, tủ điện, họng chữa cháy hoặc tuyến giao thông chính.</w:t>
            </w:r>
          </w:p>
        </w:tc>
      </w:tr>
      <w:tr>
        <w:tc>
          <w:tcPr>
            <w:tcW w:type="dxa" w:w="249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2"/>
              </w:rPr>
              <w:t>Khoảng thao tác</w:t>
            </w:r>
          </w:p>
        </w:tc>
        <w:tc>
          <w:tcPr>
            <w:tcW w:type="dxa" w:w="640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2"/>
              </w:rPr>
              <w:t>Bố trí đủ vùng ngồi chơi, nhận quà, nạp tiền và tiếp cận bảo trì; bảo đảm lối đi theo yêu cầu của TTTM.</w:t>
            </w:r>
          </w:p>
        </w:tc>
      </w:tr>
      <w:tr>
        <w:tc>
          <w:tcPr>
            <w:tcW w:type="dxa" w:w="249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2"/>
              </w:rPr>
              <w:t>Âm thanh</w:t>
            </w:r>
          </w:p>
        </w:tc>
        <w:tc>
          <w:tcPr>
            <w:tcW w:type="dxa" w:w="640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2"/>
              </w:rPr>
              <w:t>Cài đặt mức âm lượng theo giới hạn của khu vực; đo và điều chỉnh tại hiện trường nếu Ban Quản lý yêu cầu.</w:t>
            </w:r>
          </w:p>
        </w:tc>
      </w:tr>
    </w:tbl>
    <w:p>
      <w:pPr>
        <w:spacing w:after="20"/>
      </w:pPr>
    </w:p>
    <w:p>
      <w:r>
        <w:br w:type="page"/>
      </w:r>
    </w:p>
    <w:p>
      <w:pPr>
        <w:pStyle w:val="Heading1"/>
        <w:keepNext/>
        <w:spacing w:before="200" w:after="100" w:line="252" w:lineRule="auto"/>
        <w:jc w:val="left"/>
      </w:pPr>
    </w:p>
    <w:tbl>
      <w:tblPr>
        <w:tblW w:type="auto" w:w="0"/>
        <w:jc w:val="center"/>
        <w:tblLayout w:type="fixed"/>
        <w:tblLook w:firstColumn="1" w:firstRow="1" w:lastColumn="0" w:lastRow="0" w:noHBand="0" w:noVBand="1" w:val="04A0"/>
      </w:tblPr>
      <w:tblGrid>
        <w:gridCol w:w="4535"/>
        <w:gridCol w:w="4535"/>
      </w:tblGrid>
      <w:tr>
        <w:trPr>
          <w:tblHeader w:val="true"/>
        </w:trPr>
        <w:tc>
          <w:tcPr>
            <w:tcW w:type="dxa" w:w="1701"/>
            <w:shd w:fill="1F4E7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jc w:val="center"/>
            </w:pPr>
            <w:r>
              <w:rPr>
                <w:rFonts w:ascii="Times New Roman" w:hAnsi="Times New Roman" w:eastAsia="Times New Roman"/>
                <w:b/>
                <w:i w:val="0"/>
                <w:color w:val="FFFFFF"/>
                <w:sz w:val="23"/>
              </w:rPr>
              <w:t>Trình tự</w:t>
            </w:r>
          </w:p>
        </w:tc>
        <w:tc>
          <w:tcPr>
            <w:tcW w:type="dxa" w:w="7200"/>
            <w:shd w:fill="1F4E7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jc w:val="center"/>
            </w:pPr>
            <w:r>
              <w:rPr>
                <w:rFonts w:ascii="Times New Roman" w:hAnsi="Times New Roman" w:eastAsia="Times New Roman"/>
                <w:b/>
                <w:i w:val="0"/>
                <w:color w:val="FFFFFF"/>
                <w:sz w:val="23"/>
              </w:rPr>
              <w:t>Nội dung</w:t>
            </w:r>
          </w:p>
        </w:tc>
      </w:tr>
      <w:tr>
        <w:tc>
          <w:tcPr>
            <w:tcW w:type="dxa" w:w="170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3"/>
              </w:rPr>
              <w:t>Bước 1</w:t>
            </w:r>
          </w:p>
        </w:tc>
        <w:tc>
          <w:tcPr>
            <w:tcW w:type="dxa" w:w="720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3"/>
              </w:rPr>
              <w:t>Người chơi thanh toán bằng tiền mặt hoặc quét mã QR để nạp giá trị/lượt chơi.</w:t>
            </w:r>
          </w:p>
        </w:tc>
      </w:tr>
      <w:tr>
        <w:tc>
          <w:tcPr>
            <w:tcW w:type="dxa" w:w="170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3"/>
              </w:rPr>
              <w:t>Bước 2</w:t>
            </w:r>
          </w:p>
        </w:tc>
        <w:tc>
          <w:tcPr>
            <w:tcW w:type="dxa" w:w="720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3"/>
              </w:rPr>
              <w:t>Người chơi chọn gói hoặc điểm chơi theo cấu hình được chủ máy thiết lập.</w:t>
            </w:r>
          </w:p>
        </w:tc>
      </w:tr>
      <w:tr>
        <w:tc>
          <w:tcPr>
            <w:tcW w:type="dxa" w:w="170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3"/>
              </w:rPr>
              <w:t>Bước 3</w:t>
            </w:r>
          </w:p>
        </w:tc>
        <w:tc>
          <w:tcPr>
            <w:tcW w:type="dxa" w:w="720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3"/>
              </w:rPr>
              <w:t>Người chơi nhấn nút bắt đầu và sử dụng cần bắn bi.</w:t>
            </w:r>
          </w:p>
        </w:tc>
      </w:tr>
      <w:tr>
        <w:tc>
          <w:tcPr>
            <w:tcW w:type="dxa" w:w="170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3"/>
              </w:rPr>
              <w:t>Bước 4</w:t>
            </w:r>
          </w:p>
        </w:tc>
        <w:tc>
          <w:tcPr>
            <w:tcW w:type="dxa" w:w="720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3"/>
              </w:rPr>
              <w:t>Bi đi qua bàn chốt; hệ thống ghi nhận vị trí rơi, hệ số thưởng và tổng điểm.</w:t>
            </w:r>
          </w:p>
        </w:tc>
      </w:tr>
      <w:tr>
        <w:tc>
          <w:tcPr>
            <w:tcW w:type="dxa" w:w="170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3"/>
              </w:rPr>
              <w:t>Bước 5</w:t>
            </w:r>
          </w:p>
        </w:tc>
        <w:tc>
          <w:tcPr>
            <w:tcW w:type="dxa" w:w="720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3"/>
              </w:rPr>
              <w:t>Khi đủ điểm, người chơi chọn ngăn quà có mức điểm tương ứng; hệ thống mở ngăn để nhận quà.</w:t>
            </w:r>
          </w:p>
        </w:tc>
      </w:tr>
    </w:tbl>
    <w:p>
      <w:pPr>
        <w:spacing w:after="20"/>
      </w:pPr>
    </w:p>
    <w:p>
      <w:pPr>
        <w:pStyle w:val="Heading1"/>
        <w:keepNext/>
        <w:spacing w:before="200" w:after="100" w:line="252" w:lineRule="auto"/>
        <w:jc w:val="left"/>
      </w:pPr>
    </w:p>
    <w:p>
      <w:pPr>
        <w:pStyle w:val="ListBullet"/>
        <w:spacing w:line="269" w:lineRule="auto" w:after="60"/>
        <w:ind w:left="425" w:hanging="198"/>
      </w:pPr>
      <w:r>
        <w:rPr>
          <w:rFonts w:ascii="Times New Roman" w:hAnsi="Times New Roman" w:eastAsia="Times New Roman"/>
          <w:b w:val="0"/>
          <w:i w:val="0"/>
          <w:color w:val="000000"/>
          <w:sz w:val="26"/>
        </w:rPr>
        <w:t>Chủ máy được thiết lập giá chơi, gói chơi, cách tính điểm và mức điểm đổi quà trên phần mềm.</w:t>
      </w:r>
    </w:p>
    <w:p>
      <w:pPr>
        <w:pStyle w:val="ListBullet"/>
        <w:spacing w:line="269" w:lineRule="auto" w:after="60"/>
        <w:ind w:left="425" w:hanging="198"/>
      </w:pPr>
      <w:r>
        <w:rPr>
          <w:rFonts w:ascii="Times New Roman" w:hAnsi="Times New Roman" w:eastAsia="Times New Roman"/>
          <w:b w:val="0"/>
          <w:i w:val="0"/>
          <w:color w:val="000000"/>
          <w:sz w:val="26"/>
        </w:rPr>
        <w:t>Mức điểm được hiển thị tại từng ngăn quà để người chơi biết trước điều kiện nhận quà.</w:t>
      </w:r>
    </w:p>
    <w:p>
      <w:pPr>
        <w:pStyle w:val="ListBullet"/>
        <w:spacing w:line="269" w:lineRule="auto" w:after="60"/>
        <w:ind w:left="425" w:hanging="198"/>
      </w:pPr>
      <w:r>
        <w:rPr>
          <w:rFonts w:ascii="Times New Roman" w:hAnsi="Times New Roman" w:eastAsia="Times New Roman"/>
          <w:b w:val="0"/>
          <w:i w:val="0"/>
          <w:color w:val="000000"/>
          <w:sz w:val="26"/>
        </w:rPr>
        <w:t>Hệ thống ghi nhận số lượng quà xuất ra, hỗ trợ đối chiếu doanh thu, lượt chơi và chi phí quà.</w:t>
      </w:r>
    </w:p>
    <w:p>
      <w:pPr>
        <w:pStyle w:val="ListBullet"/>
        <w:spacing w:line="269" w:lineRule="auto" w:after="60"/>
        <w:ind w:left="425" w:hanging="198"/>
      </w:pPr>
      <w:r>
        <w:rPr>
          <w:rFonts w:ascii="Times New Roman" w:hAnsi="Times New Roman" w:eastAsia="Times New Roman"/>
          <w:b w:val="0"/>
          <w:i w:val="0"/>
          <w:color w:val="000000"/>
          <w:sz w:val="26"/>
        </w:rPr>
        <w:t>Quà tặng phải phù hợp kích thước ngăn, có nguồn gốc rõ ràng và đáp ứng quy định về hàng hóa lưu thông.</w:t>
      </w:r>
    </w:p>
    <w:p>
      <w:pPr>
        <w:pStyle w:val="ListBullet"/>
        <w:spacing w:line="269" w:lineRule="auto" w:after="60"/>
        <w:ind w:left="425" w:hanging="198"/>
      </w:pPr>
      <w:r>
        <w:rPr>
          <w:rFonts w:ascii="Times New Roman" w:hAnsi="Times New Roman" w:eastAsia="Times New Roman"/>
          <w:b w:val="0"/>
          <w:i w:val="0"/>
          <w:color w:val="000000"/>
          <w:sz w:val="26"/>
        </w:rPr>
        <w:t>Điểm và quà được cấu hình theo chính sách vận hành; không sử dụng tiền mặt làm phần thưởng.</w:t>
      </w:r>
    </w:p>
    <w:p>
      <w:pPr>
        <w:pStyle w:val="Heading1"/>
        <w:keepNext/>
        <w:spacing w:before="200" w:after="100" w:line="252" w:lineRule="auto"/>
        <w:jc w:val="left"/>
      </w:pPr>
    </w:p>
    <w:p>
      <w:pPr>
        <w:spacing w:line="276" w:lineRule="auto" w:after="120"/>
        <w:ind w:firstLine="567"/>
        <w:jc w:val="both"/>
      </w:pPr>
      <w:r>
        <w:rPr>
          <w:rFonts w:ascii="Times New Roman" w:hAnsi="Times New Roman" w:eastAsia="Times New Roman"/>
          <w:b w:val="0"/>
          <w:i w:val="0"/>
          <w:color w:val="000000"/>
          <w:sz w:val="26"/>
        </w:rPr>
        <w:t>Máy hỗ trợ thanh toán tiền mặt và chuyển khoản bằng mã QR. Giao dịch QR được đồng bộ về hệ thống quản lý; giao dịch tiền mặt được máy ghi nhận theo cấu hình và dữ liệu vận hành. Đơn vị vận hành thực hiện đối soát định kỳ theo từng máy và từng điểm đặt.</w:t>
      </w:r>
    </w:p>
    <w:p>
      <w:r>
        <w:br w:type="page"/>
      </w:r>
    </w:p>
    <w:p>
      <w:pPr>
        <w:pStyle w:val="Heading1"/>
        <w:keepNext/>
        <w:spacing w:before="200" w:after="100" w:line="252" w:lineRule="auto"/>
        <w:jc w:val="left"/>
      </w:pPr>
    </w:p>
    <w:tbl>
      <w:tblPr>
        <w:tblW w:type="auto" w:w="0"/>
        <w:jc w:val="center"/>
        <w:tblLayout w:type="fixed"/>
        <w:tblLook w:firstColumn="1" w:firstRow="1" w:lastColumn="0" w:lastRow="0" w:noHBand="0" w:noVBand="1" w:val="04A0"/>
      </w:tblPr>
      <w:tblGrid>
        <w:gridCol w:w="4535"/>
        <w:gridCol w:w="4535"/>
      </w:tblGrid>
      <w:tr>
        <w:trPr>
          <w:tblHeader w:val="true"/>
        </w:trPr>
        <w:tc>
          <w:tcPr>
            <w:tcW w:type="dxa" w:w="2494"/>
            <w:shd w:fill="1F4E7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jc w:val="center"/>
            </w:pPr>
            <w:r>
              <w:rPr>
                <w:rFonts w:ascii="Times New Roman" w:hAnsi="Times New Roman" w:eastAsia="Times New Roman"/>
                <w:b/>
                <w:i w:val="0"/>
                <w:color w:val="FFFFFF"/>
                <w:sz w:val="22"/>
              </w:rPr>
              <w:t>Nhóm chức năng</w:t>
            </w:r>
          </w:p>
        </w:tc>
        <w:tc>
          <w:tcPr>
            <w:tcW w:type="dxa" w:w="6406"/>
            <w:shd w:fill="1F4E7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jc w:val="center"/>
            </w:pPr>
            <w:r>
              <w:rPr>
                <w:rFonts w:ascii="Times New Roman" w:hAnsi="Times New Roman" w:eastAsia="Times New Roman"/>
                <w:b/>
                <w:i w:val="0"/>
                <w:color w:val="FFFFFF"/>
                <w:sz w:val="22"/>
              </w:rPr>
              <w:t>Nội dung</w:t>
            </w:r>
          </w:p>
        </w:tc>
      </w:tr>
      <w:tr>
        <w:tc>
          <w:tcPr>
            <w:tcW w:type="dxa" w:w="249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2"/>
              </w:rPr>
              <w:t>Quản lý doanh thu</w:t>
            </w:r>
          </w:p>
        </w:tc>
        <w:tc>
          <w:tcPr>
            <w:tcW w:type="dxa" w:w="640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2"/>
              </w:rPr>
              <w:t>Theo dõi doanh thu theo máy, địa điểm, ngày, tháng hoặc khoảng thời gian; phân tách theo phương thức thanh toán.</w:t>
            </w:r>
          </w:p>
        </w:tc>
      </w:tr>
      <w:tr>
        <w:tc>
          <w:tcPr>
            <w:tcW w:type="dxa" w:w="249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2"/>
              </w:rPr>
              <w:t>Quản lý chi phí và lợi nhuận</w:t>
            </w:r>
          </w:p>
        </w:tc>
        <w:tc>
          <w:tcPr>
            <w:tcW w:type="dxa" w:w="640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2"/>
              </w:rPr>
              <w:t>Ghi nhận chi phí mặt bằng, quà tặng, điện, nhân sự và khoản vận hành; hỗ trợ tổng hợp lãi/lỗ.</w:t>
            </w:r>
          </w:p>
        </w:tc>
      </w:tr>
      <w:tr>
        <w:tc>
          <w:tcPr>
            <w:tcW w:type="dxa" w:w="249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2"/>
              </w:rPr>
              <w:t>Quản lý quà tặng</w:t>
            </w:r>
          </w:p>
        </w:tc>
        <w:tc>
          <w:tcPr>
            <w:tcW w:type="dxa" w:w="640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2"/>
              </w:rPr>
              <w:t>Theo dõi hàng hóa, tồn kho, số lượng quà đã xuất và phục vụ đối chiếu.</w:t>
            </w:r>
          </w:p>
        </w:tc>
      </w:tr>
      <w:tr>
        <w:tc>
          <w:tcPr>
            <w:tcW w:type="dxa" w:w="249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2"/>
              </w:rPr>
              <w:t>Quản lý giao dịch</w:t>
            </w:r>
          </w:p>
        </w:tc>
        <w:tc>
          <w:tcPr>
            <w:tcW w:type="dxa" w:w="640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2"/>
              </w:rPr>
              <w:t>Theo dõi lịch sử thanh toán, nạp tiền, lượt chơi và giao dịch phát sinh.</w:t>
            </w:r>
          </w:p>
        </w:tc>
      </w:tr>
      <w:tr>
        <w:tc>
          <w:tcPr>
            <w:tcW w:type="dxa" w:w="249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2"/>
              </w:rPr>
              <w:t>Quản lý nhiều điểm</w:t>
            </w:r>
          </w:p>
        </w:tc>
        <w:tc>
          <w:tcPr>
            <w:tcW w:type="dxa" w:w="640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2"/>
              </w:rPr>
              <w:t>Theo dõi nhiều máy, nhiều địa điểm trên cùng một hệ thống.</w:t>
            </w:r>
          </w:p>
        </w:tc>
      </w:tr>
      <w:tr>
        <w:tc>
          <w:tcPr>
            <w:tcW w:type="dxa" w:w="249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2"/>
              </w:rPr>
              <w:t>Cài đặt vận hành</w:t>
            </w:r>
          </w:p>
        </w:tc>
        <w:tc>
          <w:tcPr>
            <w:tcW w:type="dxa" w:w="640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2"/>
              </w:rPr>
              <w:t>Thiết lập giá chơi, gói nạp, số lượt, cách tính điểm và mức điểm đổi quà.</w:t>
            </w:r>
          </w:p>
        </w:tc>
      </w:tr>
      <w:tr>
        <w:tc>
          <w:tcPr>
            <w:tcW w:type="dxa" w:w="249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2"/>
              </w:rPr>
              <w:t>Điều khiển từ xa</w:t>
            </w:r>
          </w:p>
        </w:tc>
        <w:tc>
          <w:tcPr>
            <w:tcW w:type="dxa" w:w="640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2"/>
              </w:rPr>
              <w:t>Hỗ trợ khởi động máy và các thao tác điều khiển đã được tích hợp.</w:t>
            </w:r>
          </w:p>
        </w:tc>
      </w:tr>
      <w:tr>
        <w:tc>
          <w:tcPr>
            <w:tcW w:type="dxa" w:w="2494"/>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2"/>
              </w:rPr>
              <w:t>Báo cáo</w:t>
            </w:r>
          </w:p>
        </w:tc>
        <w:tc>
          <w:tcPr>
            <w:tcW w:type="dxa" w:w="640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2"/>
              </w:rPr>
              <w:t>Xuất báo cáo doanh thu, chi phí, hàng hóa và biểu đồ phân tích hiệu quả.</w:t>
            </w:r>
          </w:p>
        </w:tc>
      </w:tr>
    </w:tbl>
    <w:p>
      <w:pPr>
        <w:spacing w:after="20"/>
      </w:pPr>
    </w:p>
    <w:p>
      <w:pPr>
        <w:pStyle w:val="Heading1"/>
        <w:keepNext/>
        <w:spacing w:before="200" w:after="100" w:line="252" w:lineRule="auto"/>
        <w:jc w:val="left"/>
      </w:pPr>
    </w:p>
    <w:p>
      <w:pPr>
        <w:pStyle w:val="ListBullet"/>
        <w:spacing w:line="269" w:lineRule="auto" w:after="60"/>
        <w:ind w:left="425" w:hanging="198"/>
      </w:pPr>
      <w:r>
        <w:rPr>
          <w:rFonts w:ascii="Times New Roman" w:hAnsi="Times New Roman" w:eastAsia="Times New Roman"/>
          <w:b w:val="0"/>
          <w:i w:val="0"/>
          <w:color w:val="000000"/>
          <w:sz w:val="26"/>
        </w:rPr>
        <w:t>Tài khoản quản trị do đơn vị vận hành quản lý và phân quyền cho người có trách nhiệm.</w:t>
      </w:r>
    </w:p>
    <w:p>
      <w:pPr>
        <w:pStyle w:val="ListBullet"/>
        <w:spacing w:line="269" w:lineRule="auto" w:after="60"/>
        <w:ind w:left="425" w:hanging="198"/>
      </w:pPr>
      <w:r>
        <w:rPr>
          <w:rFonts w:ascii="Times New Roman" w:hAnsi="Times New Roman" w:eastAsia="Times New Roman"/>
          <w:b w:val="0"/>
          <w:i w:val="0"/>
          <w:color w:val="000000"/>
          <w:sz w:val="26"/>
        </w:rPr>
        <w:t>Dữ liệu doanh thu và giao dịch được đối soát theo kỳ vận hành.</w:t>
      </w:r>
    </w:p>
    <w:p>
      <w:pPr>
        <w:pStyle w:val="ListBullet"/>
        <w:spacing w:line="269" w:lineRule="auto" w:after="60"/>
        <w:ind w:left="425" w:hanging="198"/>
      </w:pPr>
      <w:r>
        <w:rPr>
          <w:rFonts w:ascii="Times New Roman" w:hAnsi="Times New Roman" w:eastAsia="Times New Roman"/>
          <w:b w:val="0"/>
          <w:i w:val="0"/>
          <w:color w:val="000000"/>
          <w:sz w:val="26"/>
        </w:rPr>
        <w:t>Thông tin kết nối mạng và thanh toán phải tuân thủ quy định an toàn thông tin, an ninh mạng và yêu cầu của TTTM.</w:t>
      </w:r>
    </w:p>
    <w:p>
      <w:pPr>
        <w:pStyle w:val="ListBullet"/>
        <w:spacing w:line="269" w:lineRule="auto" w:after="60"/>
        <w:ind w:left="425" w:hanging="198"/>
      </w:pPr>
      <w:r>
        <w:rPr>
          <w:rFonts w:ascii="Times New Roman" w:hAnsi="Times New Roman" w:eastAsia="Times New Roman"/>
          <w:b w:val="0"/>
          <w:i w:val="0"/>
          <w:color w:val="000000"/>
          <w:sz w:val="26"/>
        </w:rPr>
        <w:t>Nhà cung cấp hỗ trợ xử lý sự cố phần mềm từ xa; trường hợp không khắc phục được sẽ phối hợp kiểm tra tại địa điểm.</w:t>
      </w:r>
    </w:p>
    <w:p>
      <w:r>
        <w:br w:type="page"/>
      </w:r>
    </w:p>
    <w:p>
      <w:pPr>
        <w:pStyle w:val="Heading1"/>
        <w:keepNext/>
        <w:spacing w:before="200" w:after="100" w:line="252" w:lineRule="auto"/>
        <w:jc w:val="left"/>
      </w:pPr>
    </w:p>
    <w:tbl>
      <w:tblPr>
        <w:tblW w:type="auto" w:w="0"/>
        <w:jc w:val="center"/>
        <w:tblLayout w:type="fixed"/>
        <w:tblLook w:firstColumn="1" w:firstRow="1" w:lastColumn="0" w:lastRow="0" w:noHBand="0" w:noVBand="1" w:val="04A0"/>
      </w:tblPr>
      <w:tblGrid>
        <w:gridCol w:w="3024"/>
        <w:gridCol w:w="3024"/>
        <w:gridCol w:w="3024"/>
      </w:tblGrid>
      <w:tr>
        <w:trPr>
          <w:tblHeader w:val="true"/>
        </w:trPr>
        <w:tc>
          <w:tcPr>
            <w:tcW w:type="dxa" w:w="1531"/>
            <w:shd w:fill="1F4E7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jc w:val="center"/>
            </w:pPr>
            <w:r>
              <w:rPr>
                <w:rFonts w:ascii="Times New Roman" w:hAnsi="Times New Roman" w:eastAsia="Times New Roman"/>
                <w:b/>
                <w:i w:val="0"/>
                <w:color w:val="FFFFFF"/>
                <w:sz w:val="21"/>
              </w:rPr>
              <w:t>Giai đoạn</w:t>
            </w:r>
          </w:p>
        </w:tc>
        <w:tc>
          <w:tcPr>
            <w:tcW w:type="dxa" w:w="5159"/>
            <w:shd w:fill="1F4E7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jc w:val="center"/>
            </w:pPr>
            <w:r>
              <w:rPr>
                <w:rFonts w:ascii="Times New Roman" w:hAnsi="Times New Roman" w:eastAsia="Times New Roman"/>
                <w:b/>
                <w:i w:val="0"/>
                <w:color w:val="FFFFFF"/>
                <w:sz w:val="21"/>
              </w:rPr>
              <w:t>Công việc</w:t>
            </w:r>
          </w:p>
        </w:tc>
        <w:tc>
          <w:tcPr>
            <w:tcW w:type="dxa" w:w="2211"/>
            <w:shd w:fill="1F4E7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jc w:val="center"/>
            </w:pPr>
            <w:r>
              <w:rPr>
                <w:rFonts w:ascii="Times New Roman" w:hAnsi="Times New Roman" w:eastAsia="Times New Roman"/>
                <w:b/>
                <w:i w:val="0"/>
                <w:color w:val="FFFFFF"/>
                <w:sz w:val="21"/>
              </w:rPr>
              <w:t>Đơn vị thực hiện</w:t>
            </w:r>
          </w:p>
        </w:tc>
      </w:tr>
      <w:tr>
        <w:tc>
          <w:tcPr>
            <w:tcW w:type="dxa" w:w="153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center"/>
            </w:pPr>
            <w:r>
              <w:rPr>
                <w:rFonts w:ascii="Times New Roman" w:hAnsi="Times New Roman" w:eastAsia="Times New Roman"/>
                <w:b w:val="0"/>
                <w:i w:val="0"/>
                <w:color w:val="000000"/>
                <w:sz w:val="21"/>
              </w:rPr>
              <w:t>1. Khảo sát</w:t>
            </w:r>
          </w:p>
        </w:tc>
        <w:tc>
          <w:tcPr>
            <w:tcW w:type="dxa" w:w="5159"/>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Xác nhận vị trí, nguồn điện, kết nối mạng, lối đi, vùng thao tác và yêu cầu PCCC.</w:t>
            </w:r>
          </w:p>
        </w:tc>
        <w:tc>
          <w:tcPr>
            <w:tcW w:type="dxa" w:w="221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Nhà cung cấp và TTTM</w:t>
            </w:r>
          </w:p>
        </w:tc>
      </w:tr>
      <w:tr>
        <w:tc>
          <w:tcPr>
            <w:tcW w:type="dxa" w:w="153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center"/>
            </w:pPr>
            <w:r>
              <w:rPr>
                <w:rFonts w:ascii="Times New Roman" w:hAnsi="Times New Roman" w:eastAsia="Times New Roman"/>
                <w:b w:val="0"/>
                <w:i w:val="0"/>
                <w:color w:val="000000"/>
                <w:sz w:val="21"/>
              </w:rPr>
              <w:t>2. Phê duyệt</w:t>
            </w:r>
          </w:p>
        </w:tc>
        <w:tc>
          <w:tcPr>
            <w:tcW w:type="dxa" w:w="5159"/>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Chốt số lượng máy, sơ đồ bố trí, phương án nhận diện, thời gian thi công và danh mục hồ sơ.</w:t>
            </w:r>
          </w:p>
        </w:tc>
        <w:tc>
          <w:tcPr>
            <w:tcW w:type="dxa" w:w="221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TTTM / đơn vị vận hành</w:t>
            </w:r>
          </w:p>
        </w:tc>
      </w:tr>
      <w:tr>
        <w:tc>
          <w:tcPr>
            <w:tcW w:type="dxa" w:w="153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center"/>
            </w:pPr>
            <w:r>
              <w:rPr>
                <w:rFonts w:ascii="Times New Roman" w:hAnsi="Times New Roman" w:eastAsia="Times New Roman"/>
                <w:b w:val="0"/>
                <w:i w:val="0"/>
                <w:color w:val="000000"/>
                <w:sz w:val="21"/>
              </w:rPr>
              <w:t>3. Vận chuyển</w:t>
            </w:r>
          </w:p>
        </w:tc>
        <w:tc>
          <w:tcPr>
            <w:tcW w:type="dxa" w:w="5159"/>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Đưa máy đến điểm tập kết theo khung giờ và tuyến vận chuyển được TTTM chấp thuận.</w:t>
            </w:r>
          </w:p>
        </w:tc>
        <w:tc>
          <w:tcPr>
            <w:tcW w:type="dxa" w:w="221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Nhà cung cấp</w:t>
            </w:r>
          </w:p>
        </w:tc>
      </w:tr>
      <w:tr>
        <w:tc>
          <w:tcPr>
            <w:tcW w:type="dxa" w:w="153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center"/>
            </w:pPr>
            <w:r>
              <w:rPr>
                <w:rFonts w:ascii="Times New Roman" w:hAnsi="Times New Roman" w:eastAsia="Times New Roman"/>
                <w:b w:val="0"/>
                <w:i w:val="0"/>
                <w:color w:val="000000"/>
                <w:sz w:val="21"/>
              </w:rPr>
              <w:t>4. Lắp đặt</w:t>
            </w:r>
          </w:p>
        </w:tc>
        <w:tc>
          <w:tcPr>
            <w:tcW w:type="dxa" w:w="5159"/>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Đặt máy, cân chỉnh, kết nối điện/mạng, kiểm tra dây dẫn và vùng tiếp cận.</w:t>
            </w:r>
          </w:p>
        </w:tc>
        <w:tc>
          <w:tcPr>
            <w:tcW w:type="dxa" w:w="221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Nhà cung cấp</w:t>
            </w:r>
          </w:p>
        </w:tc>
      </w:tr>
      <w:tr>
        <w:tc>
          <w:tcPr>
            <w:tcW w:type="dxa" w:w="153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center"/>
            </w:pPr>
            <w:r>
              <w:rPr>
                <w:rFonts w:ascii="Times New Roman" w:hAnsi="Times New Roman" w:eastAsia="Times New Roman"/>
                <w:b w:val="0"/>
                <w:i w:val="0"/>
                <w:color w:val="000000"/>
                <w:sz w:val="21"/>
              </w:rPr>
              <w:t>5. Kiểm thử</w:t>
            </w:r>
          </w:p>
        </w:tc>
        <w:tc>
          <w:tcPr>
            <w:tcW w:type="dxa" w:w="5159"/>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Kiểm tra thanh toán, lượt chơi, ghi điểm, mở ngăn quà, phần mềm và báo cáo.</w:t>
            </w:r>
          </w:p>
        </w:tc>
        <w:tc>
          <w:tcPr>
            <w:tcW w:type="dxa" w:w="221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Hai bên</w:t>
            </w:r>
          </w:p>
        </w:tc>
      </w:tr>
      <w:tr>
        <w:tc>
          <w:tcPr>
            <w:tcW w:type="dxa" w:w="153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center"/>
            </w:pPr>
            <w:r>
              <w:rPr>
                <w:rFonts w:ascii="Times New Roman" w:hAnsi="Times New Roman" w:eastAsia="Times New Roman"/>
                <w:b w:val="0"/>
                <w:i w:val="0"/>
                <w:color w:val="000000"/>
                <w:sz w:val="21"/>
              </w:rPr>
              <w:t>6. Bàn giao</w:t>
            </w:r>
          </w:p>
        </w:tc>
        <w:tc>
          <w:tcPr>
            <w:tcW w:type="dxa" w:w="5159"/>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Lập biên bản bàn giao, hướng dẫn vận hành, thông tin bảo hành và đầu mối xử lý sự cố.</w:t>
            </w:r>
          </w:p>
        </w:tc>
        <w:tc>
          <w:tcPr>
            <w:tcW w:type="dxa" w:w="221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Hai bên</w:t>
            </w:r>
          </w:p>
        </w:tc>
      </w:tr>
    </w:tbl>
    <w:p>
      <w:pPr>
        <w:spacing w:after="20"/>
      </w:pPr>
    </w:p>
    <w:p>
      <w:pPr>
        <w:pStyle w:val="Heading1"/>
        <w:keepNext/>
        <w:spacing w:before="200" w:after="100" w:line="252" w:lineRule="auto"/>
        <w:jc w:val="left"/>
      </w:pPr>
    </w:p>
    <w:tbl>
      <w:tblPr>
        <w:tblW w:type="auto" w:w="0"/>
        <w:jc w:val="center"/>
        <w:tblLayout w:type="fixed"/>
        <w:tblLook w:firstColumn="1" w:firstRow="1" w:lastColumn="0" w:lastRow="0" w:noHBand="0" w:noVBand="1" w:val="04A0"/>
      </w:tblPr>
      <w:tblGrid>
        <w:gridCol w:w="4535"/>
        <w:gridCol w:w="4535"/>
      </w:tblGrid>
      <w:tr>
        <w:trPr>
          <w:tblHeader w:val="true"/>
        </w:trPr>
        <w:tc>
          <w:tcPr>
            <w:tcW w:type="dxa" w:w="1701"/>
            <w:shd w:fill="1F4E7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jc w:val="center"/>
            </w:pPr>
            <w:r>
              <w:rPr>
                <w:rFonts w:ascii="Times New Roman" w:hAnsi="Times New Roman" w:eastAsia="Times New Roman"/>
                <w:b/>
                <w:i w:val="0"/>
                <w:color w:val="FFFFFF"/>
                <w:sz w:val="22"/>
              </w:rPr>
              <w:t>Thời điểm</w:t>
            </w:r>
          </w:p>
        </w:tc>
        <w:tc>
          <w:tcPr>
            <w:tcW w:type="dxa" w:w="7200"/>
            <w:shd w:fill="1F4E7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jc w:val="center"/>
            </w:pPr>
            <w:r>
              <w:rPr>
                <w:rFonts w:ascii="Times New Roman" w:hAnsi="Times New Roman" w:eastAsia="Times New Roman"/>
                <w:b/>
                <w:i w:val="0"/>
                <w:color w:val="FFFFFF"/>
                <w:sz w:val="22"/>
              </w:rPr>
              <w:t>Nội dung kiểm tra</w:t>
            </w:r>
          </w:p>
        </w:tc>
      </w:tr>
      <w:tr>
        <w:tc>
          <w:tcPr>
            <w:tcW w:type="dxa" w:w="170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2"/>
              </w:rPr>
              <w:t>Đầu ca</w:t>
            </w:r>
          </w:p>
        </w:tc>
        <w:tc>
          <w:tcPr>
            <w:tcW w:type="dxa" w:w="720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2"/>
              </w:rPr>
              <w:t>Ngoại quan; dây điện; kết nối mạng; thanh toán; nút bấm; cần bắn; màn hình điểm; chín ngăn quà; mức quà; khu vực xung quanh.</w:t>
            </w:r>
          </w:p>
        </w:tc>
      </w:tr>
      <w:tr>
        <w:tc>
          <w:tcPr>
            <w:tcW w:type="dxa" w:w="170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2"/>
              </w:rPr>
              <w:t>Trong ca</w:t>
            </w:r>
          </w:p>
        </w:tc>
        <w:tc>
          <w:tcPr>
            <w:tcW w:type="dxa" w:w="720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2"/>
              </w:rPr>
              <w:t>Theo dõi cảnh báo hệ thống; bổ sung quà; vệ sinh bề mặt; xử lý giao dịch hoặc lỗi vận hành theo quy trình.</w:t>
            </w:r>
          </w:p>
        </w:tc>
      </w:tr>
      <w:tr>
        <w:tc>
          <w:tcPr>
            <w:tcW w:type="dxa" w:w="170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2"/>
              </w:rPr>
              <w:t>Cuối ca</w:t>
            </w:r>
          </w:p>
        </w:tc>
        <w:tc>
          <w:tcPr>
            <w:tcW w:type="dxa" w:w="720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2"/>
              </w:rPr>
              <w:t>Đối soát doanh thu; kiểm đếm quà; ghi nhận sự cố; vệ sinh; tắt hoặc chuyển trạng thái máy theo quy định của TTTM.</w:t>
            </w:r>
          </w:p>
        </w:tc>
      </w:tr>
    </w:tbl>
    <w:p>
      <w:pPr>
        <w:spacing w:after="20"/>
      </w:pPr>
    </w:p>
    <w:p>
      <w:r>
        <w:br w:type="page"/>
      </w:r>
    </w:p>
    <w:p>
      <w:pPr>
        <w:pStyle w:val="Heading1"/>
        <w:keepNext/>
        <w:spacing w:before="200" w:after="100" w:line="252" w:lineRule="auto"/>
        <w:jc w:val="left"/>
      </w:pPr>
    </w:p>
    <w:tbl>
      <w:tblPr>
        <w:tblW w:type="auto" w:w="0"/>
        <w:jc w:val="center"/>
        <w:tblLayout w:type="fixed"/>
        <w:tblLook w:firstColumn="1" w:firstRow="1" w:lastColumn="0" w:lastRow="0" w:noHBand="0" w:noVBand="1" w:val="04A0"/>
      </w:tblPr>
      <w:tblGrid>
        <w:gridCol w:w="4535"/>
        <w:gridCol w:w="4535"/>
      </w:tblGrid>
      <w:tr>
        <w:trPr>
          <w:tblHeader w:val="true"/>
        </w:trPr>
        <w:tc>
          <w:tcPr>
            <w:tcW w:type="dxa" w:w="2438"/>
            <w:shd w:fill="1F4E7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jc w:val="center"/>
            </w:pPr>
            <w:r>
              <w:rPr>
                <w:rFonts w:ascii="Times New Roman" w:hAnsi="Times New Roman" w:eastAsia="Times New Roman"/>
                <w:b/>
                <w:i w:val="0"/>
                <w:color w:val="FFFFFF"/>
                <w:sz w:val="21"/>
              </w:rPr>
              <w:t>Rủi ro / yêu cầu</w:t>
            </w:r>
          </w:p>
        </w:tc>
        <w:tc>
          <w:tcPr>
            <w:tcW w:type="dxa" w:w="6463"/>
            <w:shd w:fill="1F4E7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jc w:val="center"/>
            </w:pPr>
            <w:r>
              <w:rPr>
                <w:rFonts w:ascii="Times New Roman" w:hAnsi="Times New Roman" w:eastAsia="Times New Roman"/>
                <w:b/>
                <w:i w:val="0"/>
                <w:color w:val="FFFFFF"/>
                <w:sz w:val="21"/>
              </w:rPr>
              <w:t>Biện pháp kiểm soát</w:t>
            </w:r>
          </w:p>
        </w:tc>
      </w:tr>
      <w:tr>
        <w:tc>
          <w:tcPr>
            <w:tcW w:type="dxa" w:w="243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Điện và dây dẫn</w:t>
            </w:r>
          </w:p>
        </w:tc>
        <w:tc>
          <w:tcPr>
            <w:tcW w:type="dxa" w:w="6463"/>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Dùng ổ cắm đạt yêu cầu, có tiếp địa và bảo vệ rò điện; đi dây gọn, có nẹp/bảo vệ; không dùng dây hở hoặc nối tạm.</w:t>
            </w:r>
          </w:p>
        </w:tc>
      </w:tr>
      <w:tr>
        <w:tc>
          <w:tcPr>
            <w:tcW w:type="dxa" w:w="243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Ổn định cơ học</w:t>
            </w:r>
          </w:p>
        </w:tc>
        <w:tc>
          <w:tcPr>
            <w:tcW w:type="dxa" w:w="6463"/>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Đặt trên nền phẳng; khóa bánh xe hoặc chèn cố định theo thiết kế; kiểm tra rung lắc trước khi bàn giao.</w:t>
            </w:r>
          </w:p>
        </w:tc>
      </w:tr>
      <w:tr>
        <w:tc>
          <w:tcPr>
            <w:tcW w:type="dxa" w:w="243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Va chạm và kẹt tay</w:t>
            </w:r>
          </w:p>
        </w:tc>
        <w:tc>
          <w:tcPr>
            <w:tcW w:type="dxa" w:w="6463"/>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Kiểm tra cửa ngăn quà, bản lề, cạnh mép và cần bắn; tạm dừng máy khi phát hiện hư hỏng.</w:t>
            </w:r>
          </w:p>
        </w:tc>
      </w:tr>
      <w:tr>
        <w:tc>
          <w:tcPr>
            <w:tcW w:type="dxa" w:w="243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Cháy và nguồn nhiệt</w:t>
            </w:r>
          </w:p>
        </w:tc>
        <w:tc>
          <w:tcPr>
            <w:tcW w:type="dxa" w:w="6463"/>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Không che khe thoát nhiệt; không đặt gần nguồn nhiệt; giữ khoảng cách với thiết bị PCCC và thực hiện yêu cầu của TTTM.</w:t>
            </w:r>
          </w:p>
        </w:tc>
      </w:tr>
      <w:tr>
        <w:tc>
          <w:tcPr>
            <w:tcW w:type="dxa" w:w="243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Nước và vệ sinh</w:t>
            </w:r>
          </w:p>
        </w:tc>
        <w:tc>
          <w:tcPr>
            <w:tcW w:type="dxa" w:w="6463"/>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Chỉ vệ sinh bằng khăn phù hợp khi đã ngắt nguồn; không phun nước hoặc dùng hóa chất gây hư hại linh kiện.</w:t>
            </w:r>
          </w:p>
        </w:tc>
      </w:tr>
      <w:tr>
        <w:tc>
          <w:tcPr>
            <w:tcW w:type="dxa" w:w="243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Mạng và thanh toán</w:t>
            </w:r>
          </w:p>
        </w:tc>
        <w:tc>
          <w:tcPr>
            <w:tcW w:type="dxa" w:w="6463"/>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Bảo vệ tài khoản quản trị, mã QR và thông tin truy cập; đối soát giao dịch; báo ngay khi có dấu hiệu bất thường.</w:t>
            </w:r>
          </w:p>
        </w:tc>
      </w:tr>
      <w:tr>
        <w:tc>
          <w:tcPr>
            <w:tcW w:type="dxa" w:w="243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Nội dung và phần thưởng</w:t>
            </w:r>
          </w:p>
        </w:tc>
        <w:tc>
          <w:tcPr>
            <w:tcW w:type="dxa" w:w="6463"/>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Duy trì nội dung vui chơi lành mạnh; công khai mức điểm; chỉ đổi quà hiện vật; không quy đổi tiền, không đặt cược.</w:t>
            </w:r>
          </w:p>
        </w:tc>
      </w:tr>
      <w:tr>
        <w:tc>
          <w:tcPr>
            <w:tcW w:type="dxa" w:w="243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Sự cố</w:t>
            </w:r>
          </w:p>
        </w:tc>
        <w:tc>
          <w:tcPr>
            <w:tcW w:type="dxa" w:w="6463"/>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Ngắt nguồn, treo thông báo ngừng phục vụ, cô lập khu vực nếu cần và liên hệ đầu mối kỹ thuật.</w:t>
            </w:r>
          </w:p>
        </w:tc>
      </w:tr>
    </w:tbl>
    <w:p>
      <w:pPr>
        <w:spacing w:after="20"/>
      </w:pPr>
    </w:p>
    <w:p>
      <w:pPr>
        <w:pStyle w:val="Heading1"/>
        <w:keepNext/>
        <w:spacing w:before="200" w:after="100" w:line="252" w:lineRule="auto"/>
        <w:jc w:val="left"/>
      </w:pPr>
    </w:p>
    <w:tbl>
      <w:tblPr>
        <w:tblW w:type="auto" w:w="0"/>
        <w:jc w:val="center"/>
        <w:tblLayout w:type="fixed"/>
        <w:tblLook w:firstColumn="1" w:firstRow="1" w:lastColumn="0" w:lastRow="0" w:noHBand="0" w:noVBand="1" w:val="04A0"/>
      </w:tblPr>
      <w:tblGrid>
        <w:gridCol w:w="4535"/>
        <w:gridCol w:w="4535"/>
      </w:tblGrid>
      <w:tr>
        <w:trPr>
          <w:tblHeader w:val="true"/>
        </w:trPr>
        <w:tc>
          <w:tcPr>
            <w:tcW w:type="dxa" w:w="2551"/>
            <w:shd w:fill="1F4E7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jc w:val="center"/>
            </w:pPr>
            <w:r>
              <w:rPr>
                <w:rFonts w:ascii="Times New Roman" w:hAnsi="Times New Roman" w:eastAsia="Times New Roman"/>
                <w:b/>
                <w:i w:val="0"/>
                <w:color w:val="FFFFFF"/>
                <w:sz w:val="22"/>
              </w:rPr>
              <w:t>Nội dung</w:t>
            </w:r>
          </w:p>
        </w:tc>
        <w:tc>
          <w:tcPr>
            <w:tcW w:type="dxa" w:w="6350"/>
            <w:shd w:fill="1F4E7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jc w:val="center"/>
            </w:pPr>
            <w:r>
              <w:rPr>
                <w:rFonts w:ascii="Times New Roman" w:hAnsi="Times New Roman" w:eastAsia="Times New Roman"/>
                <w:b/>
                <w:i w:val="0"/>
                <w:color w:val="FFFFFF"/>
                <w:sz w:val="22"/>
              </w:rPr>
              <w:t>Chính sách</w:t>
            </w:r>
          </w:p>
        </w:tc>
      </w:tr>
      <w:tr>
        <w:tc>
          <w:tcPr>
            <w:tcW w:type="dxa" w:w="255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2"/>
              </w:rPr>
              <w:t>Thời gian bảo hành</w:t>
            </w:r>
          </w:p>
        </w:tc>
        <w:tc>
          <w:tcPr>
            <w:tcW w:type="dxa" w:w="635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2"/>
              </w:rPr>
              <w:t>12 tháng</w:t>
            </w:r>
          </w:p>
        </w:tc>
      </w:tr>
      <w:tr>
        <w:tc>
          <w:tcPr>
            <w:tcW w:type="dxa" w:w="255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2"/>
              </w:rPr>
              <w:t>Phạm vi</w:t>
            </w:r>
          </w:p>
        </w:tc>
        <w:tc>
          <w:tcPr>
            <w:tcW w:type="dxa" w:w="635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2"/>
              </w:rPr>
              <w:t>Phần mềm quản lý và phần cứng phát sinh lỗi do nhà cung cấp</w:t>
            </w:r>
          </w:p>
        </w:tc>
      </w:tr>
      <w:tr>
        <w:tc>
          <w:tcPr>
            <w:tcW w:type="dxa" w:w="255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2"/>
              </w:rPr>
              <w:t>Hỗ trợ từ xa</w:t>
            </w:r>
          </w:p>
        </w:tc>
        <w:tc>
          <w:tcPr>
            <w:tcW w:type="dxa" w:w="635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2"/>
              </w:rPr>
              <w:t>Có</w:t>
            </w:r>
          </w:p>
        </w:tc>
      </w:tr>
      <w:tr>
        <w:tc>
          <w:tcPr>
            <w:tcW w:type="dxa" w:w="255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2"/>
              </w:rPr>
              <w:t>Hỗ trợ tại địa điểm</w:t>
            </w:r>
          </w:p>
        </w:tc>
        <w:tc>
          <w:tcPr>
            <w:tcW w:type="dxa" w:w="635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2"/>
              </w:rPr>
              <w:t>Thực hiện khi không thể xử lý từ xa</w:t>
            </w:r>
          </w:p>
        </w:tc>
      </w:tr>
      <w:tr>
        <w:tc>
          <w:tcPr>
            <w:tcW w:type="dxa" w:w="255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2"/>
              </w:rPr>
              <w:t>Thời gian phản hồi</w:t>
            </w:r>
          </w:p>
        </w:tc>
        <w:tc>
          <w:tcPr>
            <w:tcW w:type="dxa" w:w="635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2"/>
              </w:rPr>
              <w:t>Trong vòng 24 giờ kể từ khi nhận thông báo</w:t>
            </w:r>
          </w:p>
        </w:tc>
      </w:tr>
      <w:tr>
        <w:tc>
          <w:tcPr>
            <w:tcW w:type="dxa" w:w="255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2"/>
              </w:rPr>
              <w:t>Linh kiện</w:t>
            </w:r>
          </w:p>
        </w:tc>
        <w:tc>
          <w:tcPr>
            <w:tcW w:type="dxa" w:w="635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2"/>
              </w:rPr>
              <w:t>Có chính sách thay thế; chi phí ngoài bảo hành xác định theo từng trường hợp</w:t>
            </w:r>
          </w:p>
        </w:tc>
      </w:tr>
      <w:tr>
        <w:tc>
          <w:tcPr>
            <w:tcW w:type="dxa" w:w="2551"/>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2"/>
              </w:rPr>
              <w:t>Đào tạo</w:t>
            </w:r>
          </w:p>
        </w:tc>
        <w:tc>
          <w:tcPr>
            <w:tcW w:type="dxa" w:w="635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2"/>
              </w:rPr>
              <w:t>Có hướng dẫn sử dụng và vận hành chi tiết</w:t>
            </w:r>
          </w:p>
        </w:tc>
      </w:tr>
    </w:tbl>
    <w:p>
      <w:pPr>
        <w:spacing w:after="20"/>
      </w:pPr>
    </w:p>
    <w:p>
      <w:r>
        <w:br w:type="page"/>
      </w:r>
    </w:p>
    <w:p>
      <w:pPr>
        <w:pStyle w:val="Heading1"/>
        <w:keepNext/>
        <w:spacing w:before="200" w:after="100" w:line="252" w:lineRule="auto"/>
        <w:jc w:val="left"/>
      </w:pPr>
    </w:p>
    <w:p>
      <w:pPr>
        <w:spacing w:line="276" w:lineRule="auto" w:after="120"/>
        <w:ind w:firstLine="567"/>
        <w:jc w:val="both"/>
      </w:pPr>
      <w:r>
        <w:rPr>
          <w:rFonts w:ascii="Times New Roman" w:hAnsi="Times New Roman" w:eastAsia="Times New Roman"/>
          <w:b w:val="0"/>
          <w:i w:val="0"/>
          <w:color w:val="000000"/>
          <w:sz w:val="26"/>
        </w:rPr>
        <w:t>Theo tài liệu của nhà cung cấp, máy có xuất xứ Trung Quốc, được nhập khẩu chính ngạch và có hóa đơn, chứng từ mua bán. Hồ sơ kiểm tra/thẩm định nội dung và tem kiểm soát của cơ quan văn hóa có thẩm quyền được cung cấp theo từng lô hoặc từng máy, tùy chứng từ thực tế.</w:t>
      </w:r>
    </w:p>
    <w:p>
      <w:pPr>
        <w:spacing w:line="276" w:lineRule="auto" w:after="120"/>
        <w:ind w:firstLine="567"/>
        <w:jc w:val="both"/>
      </w:pPr>
      <w:r>
        <w:rPr>
          <w:rFonts w:ascii="Times New Roman" w:hAnsi="Times New Roman" w:eastAsia="Times New Roman"/>
          <w:b w:val="0"/>
          <w:i w:val="0"/>
          <w:color w:val="000000"/>
          <w:sz w:val="26"/>
        </w:rPr>
        <w:t>Trước khi đưa máy vào trung tâm thương mại, đơn vị cung cấp và đơn vị vận hành có trách nhiệm đối chiếu model, số seri, số lượng máy, tem nhãn, tờ khai nhập khẩu, hóa đơn và các tài liệu kỹ thuật với thiết bị thực tế.</w:t>
      </w:r>
    </w:p>
    <w:p>
      <w:pPr>
        <w:pStyle w:val="Heading1"/>
        <w:keepNext/>
        <w:spacing w:before="200" w:after="100" w:line="252" w:lineRule="auto"/>
        <w:jc w:val="left"/>
      </w:pPr>
    </w:p>
    <w:tbl>
      <w:tblPr>
        <w:tblW w:type="auto" w:w="0"/>
        <w:jc w:val="center"/>
        <w:tblLayout w:type="fixed"/>
        <w:tblLook w:firstColumn="1" w:firstRow="1" w:lastColumn="0" w:lastRow="0" w:noHBand="0" w:noVBand="1" w:val="04A0"/>
      </w:tblPr>
      <w:tblGrid>
        <w:gridCol w:w="3024"/>
        <w:gridCol w:w="3024"/>
        <w:gridCol w:w="3024"/>
      </w:tblGrid>
      <w:tr>
        <w:trPr>
          <w:tblHeader w:val="true"/>
        </w:trPr>
        <w:tc>
          <w:tcPr>
            <w:tcW w:type="dxa" w:w="680"/>
            <w:shd w:fill="1F4E7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jc w:val="center"/>
            </w:pPr>
            <w:r>
              <w:rPr>
                <w:rFonts w:ascii="Times New Roman" w:hAnsi="Times New Roman" w:eastAsia="Times New Roman"/>
                <w:b/>
                <w:i w:val="0"/>
                <w:color w:val="FFFFFF"/>
                <w:sz w:val="21"/>
              </w:rPr>
              <w:t>STT</w:t>
            </w:r>
          </w:p>
        </w:tc>
        <w:tc>
          <w:tcPr>
            <w:tcW w:type="dxa" w:w="5216"/>
            <w:shd w:fill="1F4E7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jc w:val="center"/>
            </w:pPr>
            <w:r>
              <w:rPr>
                <w:rFonts w:ascii="Times New Roman" w:hAnsi="Times New Roman" w:eastAsia="Times New Roman"/>
                <w:b/>
                <w:i w:val="0"/>
                <w:color w:val="FFFFFF"/>
                <w:sz w:val="21"/>
              </w:rPr>
              <w:t>Tài liệu</w:t>
            </w:r>
          </w:p>
        </w:tc>
        <w:tc>
          <w:tcPr>
            <w:tcW w:type="dxa" w:w="3005"/>
            <w:shd w:fill="1F4E7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jc w:val="center"/>
            </w:pPr>
            <w:r>
              <w:rPr>
                <w:rFonts w:ascii="Times New Roman" w:hAnsi="Times New Roman" w:eastAsia="Times New Roman"/>
                <w:b/>
                <w:i w:val="0"/>
                <w:color w:val="FFFFFF"/>
                <w:sz w:val="21"/>
              </w:rPr>
              <w:t>Tình trạng / số tham chiếu</w:t>
            </w:r>
          </w:p>
        </w:tc>
      </w:tr>
      <w:tr>
        <w:tc>
          <w:tcPr>
            <w:tcW w:type="dxa" w:w="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center"/>
            </w:pPr>
            <w:r>
              <w:rPr>
                <w:rFonts w:ascii="Times New Roman" w:hAnsi="Times New Roman" w:eastAsia="Times New Roman"/>
                <w:b w:val="0"/>
                <w:i w:val="0"/>
                <w:color w:val="000000"/>
                <w:sz w:val="21"/>
              </w:rPr>
              <w:t>1</w:t>
            </w:r>
          </w:p>
        </w:tc>
        <w:tc>
          <w:tcPr>
            <w:tcW w:type="dxa" w:w="521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Giấy chứng nhận đăng ký doanh nghiệp của đơn vị cung cấp</w:t>
            </w:r>
          </w:p>
        </w:tc>
        <w:tc>
          <w:tcPr>
            <w:tcW w:type="dxa" w:w="300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Đính kèm bản sao</w:t>
            </w:r>
          </w:p>
        </w:tc>
      </w:tr>
      <w:tr>
        <w:tc>
          <w:tcPr>
            <w:tcW w:type="dxa" w:w="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center"/>
            </w:pPr>
            <w:r>
              <w:rPr>
                <w:rFonts w:ascii="Times New Roman" w:hAnsi="Times New Roman" w:eastAsia="Times New Roman"/>
                <w:b w:val="0"/>
                <w:i w:val="0"/>
                <w:color w:val="000000"/>
                <w:sz w:val="21"/>
              </w:rPr>
              <w:t>2</w:t>
            </w:r>
          </w:p>
        </w:tc>
        <w:tc>
          <w:tcPr>
            <w:tcW w:type="dxa" w:w="521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Hóa đơn, chứng từ mua bán</w:t>
            </w:r>
          </w:p>
        </w:tc>
        <w:tc>
          <w:tcPr>
            <w:tcW w:type="dxa" w:w="300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Đính kèm theo lô/máy</w:t>
            </w:r>
          </w:p>
        </w:tc>
      </w:tr>
      <w:tr>
        <w:tc>
          <w:tcPr>
            <w:tcW w:type="dxa" w:w="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center"/>
            </w:pPr>
            <w:r>
              <w:rPr>
                <w:rFonts w:ascii="Times New Roman" w:hAnsi="Times New Roman" w:eastAsia="Times New Roman"/>
                <w:b w:val="0"/>
                <w:i w:val="0"/>
                <w:color w:val="000000"/>
                <w:sz w:val="21"/>
              </w:rPr>
              <w:t>3</w:t>
            </w:r>
          </w:p>
        </w:tc>
        <w:tc>
          <w:tcPr>
            <w:tcW w:type="dxa" w:w="521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Tờ khai hải quan hoặc hồ sơ nhập khẩu</w:t>
            </w:r>
          </w:p>
        </w:tc>
        <w:tc>
          <w:tcPr>
            <w:tcW w:type="dxa" w:w="300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Điền số tờ khai: ………………………</w:t>
            </w:r>
          </w:p>
        </w:tc>
      </w:tr>
      <w:tr>
        <w:tc>
          <w:tcPr>
            <w:tcW w:type="dxa" w:w="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center"/>
            </w:pPr>
            <w:r>
              <w:rPr>
                <w:rFonts w:ascii="Times New Roman" w:hAnsi="Times New Roman" w:eastAsia="Times New Roman"/>
                <w:b w:val="0"/>
                <w:i w:val="0"/>
                <w:color w:val="000000"/>
                <w:sz w:val="21"/>
              </w:rPr>
              <w:t>4</w:t>
            </w:r>
          </w:p>
        </w:tc>
        <w:tc>
          <w:tcPr>
            <w:tcW w:type="dxa" w:w="521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Tem/nhãn kiểm soát hoặc hồ sơ thẩm định nội dung của cơ quan văn hóa</w:t>
            </w:r>
          </w:p>
        </w:tc>
        <w:tc>
          <w:tcPr>
            <w:tcW w:type="dxa" w:w="300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Điền số, ngày cấp: ………………………</w:t>
            </w:r>
          </w:p>
        </w:tc>
      </w:tr>
      <w:tr>
        <w:tc>
          <w:tcPr>
            <w:tcW w:type="dxa" w:w="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center"/>
            </w:pPr>
            <w:r>
              <w:rPr>
                <w:rFonts w:ascii="Times New Roman" w:hAnsi="Times New Roman" w:eastAsia="Times New Roman"/>
                <w:b w:val="0"/>
                <w:i w:val="0"/>
                <w:color w:val="000000"/>
                <w:sz w:val="21"/>
              </w:rPr>
              <w:t>5</w:t>
            </w:r>
          </w:p>
        </w:tc>
        <w:tc>
          <w:tcPr>
            <w:tcW w:type="dxa" w:w="521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Catalogue hoặc tài liệu kỹ thuật của nhà sản xuất</w:t>
            </w:r>
          </w:p>
        </w:tc>
        <w:tc>
          <w:tcPr>
            <w:tcW w:type="dxa" w:w="300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Đính kèm</w:t>
            </w:r>
          </w:p>
        </w:tc>
      </w:tr>
      <w:tr>
        <w:tc>
          <w:tcPr>
            <w:tcW w:type="dxa" w:w="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center"/>
            </w:pPr>
            <w:r>
              <w:rPr>
                <w:rFonts w:ascii="Times New Roman" w:hAnsi="Times New Roman" w:eastAsia="Times New Roman"/>
                <w:b w:val="0"/>
                <w:i w:val="0"/>
                <w:color w:val="000000"/>
                <w:sz w:val="21"/>
              </w:rPr>
              <w:t>6</w:t>
            </w:r>
          </w:p>
        </w:tc>
        <w:tc>
          <w:tcPr>
            <w:tcW w:type="dxa" w:w="521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Danh sách model, số seri và số lượng máy đưa vào TTTM</w:t>
            </w:r>
          </w:p>
        </w:tc>
        <w:tc>
          <w:tcPr>
            <w:tcW w:type="dxa" w:w="300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Lập theo biên bản bàn giao</w:t>
            </w:r>
          </w:p>
        </w:tc>
      </w:tr>
      <w:tr>
        <w:tc>
          <w:tcPr>
            <w:tcW w:type="dxa" w:w="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center"/>
            </w:pPr>
            <w:r>
              <w:rPr>
                <w:rFonts w:ascii="Times New Roman" w:hAnsi="Times New Roman" w:eastAsia="Times New Roman"/>
                <w:b w:val="0"/>
                <w:i w:val="0"/>
                <w:color w:val="000000"/>
                <w:sz w:val="21"/>
              </w:rPr>
              <w:t>7</w:t>
            </w:r>
          </w:p>
        </w:tc>
        <w:tc>
          <w:tcPr>
            <w:tcW w:type="dxa" w:w="521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Sơ đồ vị trí lắp đặt và cấp điện</w:t>
            </w:r>
          </w:p>
        </w:tc>
        <w:tc>
          <w:tcPr>
            <w:tcW w:type="dxa" w:w="300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Bổ sung sau khảo sát mặt bằng</w:t>
            </w:r>
          </w:p>
        </w:tc>
      </w:tr>
      <w:tr>
        <w:tc>
          <w:tcPr>
            <w:tcW w:type="dxa" w:w="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center"/>
            </w:pPr>
            <w:r>
              <w:rPr>
                <w:rFonts w:ascii="Times New Roman" w:hAnsi="Times New Roman" w:eastAsia="Times New Roman"/>
                <w:b w:val="0"/>
                <w:i w:val="0"/>
                <w:color w:val="000000"/>
                <w:sz w:val="21"/>
              </w:rPr>
              <w:t>8</w:t>
            </w:r>
          </w:p>
        </w:tc>
        <w:tc>
          <w:tcPr>
            <w:tcW w:type="dxa" w:w="521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Biên bản kiểm tra điện, chạy thử và bàn giao</w:t>
            </w:r>
          </w:p>
        </w:tc>
        <w:tc>
          <w:tcPr>
            <w:tcW w:type="dxa" w:w="300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Lập tại thời điểm lắp đặt</w:t>
            </w:r>
          </w:p>
        </w:tc>
      </w:tr>
      <w:tr>
        <w:tc>
          <w:tcPr>
            <w:tcW w:type="dxa" w:w="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center"/>
            </w:pPr>
            <w:r>
              <w:rPr>
                <w:rFonts w:ascii="Times New Roman" w:hAnsi="Times New Roman" w:eastAsia="Times New Roman"/>
                <w:b w:val="0"/>
                <w:i w:val="0"/>
                <w:color w:val="000000"/>
                <w:sz w:val="21"/>
              </w:rPr>
              <w:t>9</w:t>
            </w:r>
          </w:p>
        </w:tc>
        <w:tc>
          <w:tcPr>
            <w:tcW w:type="dxa" w:w="521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Quy trình vận hành, xử lý sự cố và liên hệ khẩn cấp</w:t>
            </w:r>
          </w:p>
        </w:tc>
        <w:tc>
          <w:tcPr>
            <w:tcW w:type="dxa" w:w="300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1"/>
              </w:rPr>
              <w:t>Đính kèm/bàn giao cho điểm đặt</w:t>
            </w:r>
          </w:p>
        </w:tc>
      </w:tr>
      <w:tr>
        <w:tc>
          <w:tcPr>
            <w:tcW w:type="dxa" w:w="680"/>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center"/>
            </w:pPr>
            <w:r>
              <w:rPr>
                <w:rFonts w:ascii="Times New Roman" w:hAnsi="Times New Roman" w:eastAsia="Times New Roman"/>
                <w:b w:val="0"/>
                <w:i w:val="0"/>
                <w:color w:val="000000"/>
                <w:sz w:val="21"/>
              </w:rPr>
              <w:t>10</w:t>
            </w:r>
          </w:p>
        </w:tc>
        <w:tc>
          <w:tcPr>
            <w:tcW w:type="dxa" w:w="5216"/>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Tài liệu về vật liệu, an toàn điện, EMC hoặc chứng nhận khác</w:t>
            </w:r>
          </w:p>
        </w:tc>
        <w:tc>
          <w:tcPr>
            <w:tcW w:type="dxa" w:w="3005"/>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1"/>
              </w:rPr>
              <w:t>Cung cấp khi TTTM/cơ quan quản lý yêu cầu</w:t>
            </w:r>
          </w:p>
        </w:tc>
      </w:tr>
    </w:tbl>
    <w:p>
      <w:pPr>
        <w:spacing w:after="20"/>
      </w:pPr>
    </w:p>
    <w:p>
      <w:pPr>
        <w:pStyle w:val="Heading1"/>
        <w:keepNext/>
        <w:spacing w:before="200" w:after="100" w:line="252" w:lineRule="auto"/>
        <w:jc w:val="left"/>
      </w:pPr>
    </w:p>
    <w:tbl>
      <w:tblPr>
        <w:tblW w:type="auto" w:w="0"/>
        <w:jc w:val="center"/>
        <w:tblLayout w:type="fixed"/>
        <w:tblLook w:firstColumn="1" w:firstRow="1" w:lastColumn="0" w:lastRow="0" w:noHBand="0" w:noVBand="1" w:val="04A0"/>
      </w:tblPr>
      <w:tblGrid>
        <w:gridCol w:w="4535"/>
        <w:gridCol w:w="4535"/>
      </w:tblGrid>
      <w:tr>
        <w:trPr>
          <w:tblHeader w:val="true"/>
        </w:trPr>
        <w:tc>
          <w:tcPr>
            <w:tcW w:type="dxa" w:w="2438"/>
            <w:shd w:fill="1F4E7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jc w:val="center"/>
            </w:pPr>
            <w:r>
              <w:rPr>
                <w:rFonts w:ascii="Times New Roman" w:hAnsi="Times New Roman" w:eastAsia="Times New Roman"/>
                <w:b/>
                <w:i w:val="0"/>
                <w:color w:val="FFFFFF"/>
                <w:sz w:val="23"/>
              </w:rPr>
              <w:t>Nội dung</w:t>
            </w:r>
          </w:p>
        </w:tc>
        <w:tc>
          <w:tcPr>
            <w:tcW w:type="dxa" w:w="6463"/>
            <w:shd w:fill="1F4E7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jc w:val="center"/>
            </w:pPr>
            <w:r>
              <w:rPr>
                <w:rFonts w:ascii="Times New Roman" w:hAnsi="Times New Roman" w:eastAsia="Times New Roman"/>
                <w:b/>
                <w:i w:val="0"/>
                <w:color w:val="FFFFFF"/>
                <w:sz w:val="23"/>
              </w:rPr>
              <w:t>Thông tin</w:t>
            </w:r>
          </w:p>
        </w:tc>
      </w:tr>
      <w:tr>
        <w:tc>
          <w:tcPr>
            <w:tcW w:type="dxa" w:w="243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3"/>
              </w:rPr>
              <w:t>Đơn vị</w:t>
            </w:r>
          </w:p>
        </w:tc>
        <w:tc>
          <w:tcPr>
            <w:tcW w:type="dxa" w:w="6463"/>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3"/>
              </w:rPr>
              <w:t>Công ty TNHH Công nghệ Việt Core Việt Nam</w:t>
            </w:r>
          </w:p>
        </w:tc>
      </w:tr>
      <w:tr>
        <w:tc>
          <w:tcPr>
            <w:tcW w:type="dxa" w:w="243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3"/>
              </w:rPr>
              <w:t>Hotline</w:t>
            </w:r>
          </w:p>
        </w:tc>
        <w:tc>
          <w:tcPr>
            <w:tcW w:type="dxa" w:w="6463"/>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3"/>
              </w:rPr>
              <w:t>037 599 3345</w:t>
            </w:r>
          </w:p>
        </w:tc>
      </w:tr>
      <w:tr>
        <w:tc>
          <w:tcPr>
            <w:tcW w:type="dxa" w:w="243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3"/>
              </w:rPr>
              <w:t>Email</w:t>
            </w:r>
          </w:p>
        </w:tc>
        <w:tc>
          <w:tcPr>
            <w:tcW w:type="dxa" w:w="6463"/>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tcPr>
          <w:p>
            <w:pPr>
              <w:spacing w:after="0" w:line="252" w:lineRule="auto"/>
              <w:jc w:val="left"/>
            </w:pPr>
            <w:r>
              <w:rPr>
                <w:rFonts w:ascii="Times New Roman" w:hAnsi="Times New Roman" w:eastAsia="Times New Roman"/>
                <w:b w:val="0"/>
                <w:i w:val="0"/>
                <w:color w:val="000000"/>
                <w:sz w:val="23"/>
              </w:rPr>
              <w:t>tnhhcongnghevietcore@gmail.com</w:t>
            </w:r>
          </w:p>
        </w:tc>
      </w:tr>
      <w:tr>
        <w:tc>
          <w:tcPr>
            <w:tcW w:type="dxa" w:w="2438"/>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3"/>
              </w:rPr>
              <w:t>Địa chỉ</w:t>
            </w:r>
          </w:p>
        </w:tc>
        <w:tc>
          <w:tcPr>
            <w:tcW w:type="dxa" w:w="6463"/>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tcMar>
              <w:top w:w="90" w:type="dxa"/>
              <w:start w:w="110" w:type="dxa"/>
              <w:bottom w:w="90" w:type="dxa"/>
              <w:end w:w="110" w:type="dxa"/>
            </w:tcMar>
            <w:vAlign w:val="center"/>
            <w:shd w:fill="EEF5FA"/>
          </w:tcPr>
          <w:p>
            <w:pPr>
              <w:spacing w:after="0" w:line="252" w:lineRule="auto"/>
              <w:jc w:val="left"/>
            </w:pPr>
            <w:r>
              <w:rPr>
                <w:rFonts w:ascii="Times New Roman" w:hAnsi="Times New Roman" w:eastAsia="Times New Roman"/>
                <w:b w:val="0"/>
                <w:i w:val="0"/>
                <w:color w:val="000000"/>
                <w:sz w:val="23"/>
              </w:rPr>
              <w:t>24 đường số 11, CityLand ParkHill, Gò Vấp, TP. Hồ Chí Minh</w:t>
            </w:r>
          </w:p>
        </w:tc>
      </w:tr>
    </w:tbl>
    <w:p>
      <w:pPr>
        <w:spacing w:after="20"/>
      </w:pPr>
    </w:p>
    <w:p>
      <w:r>
        <w:br w:type="page"/>
      </w:r>
    </w:p>
    <w:p>
      <w:pPr>
        <w:pStyle w:val="Heading1"/>
        <w:keepNext/>
        <w:spacing w:before="200" w:after="100" w:line="252" w:lineRule="auto"/>
        <w:jc w:val="left"/>
      </w:pPr>
    </w:p>
    <w:p>
      <w:pPr>
        <w:spacing w:line="276" w:lineRule="auto" w:after="120"/>
        <w:jc w:val="both"/>
      </w:pPr>
      <w:r>
        <w:rPr>
          <w:rFonts w:ascii="Times New Roman" w:hAnsi="Times New Roman" w:eastAsia="Times New Roman"/>
          <w:b w:val="0"/>
          <w:i w:val="0"/>
          <w:color w:val="000000"/>
          <w:sz w:val="26"/>
        </w:rPr>
        <w:t>Hình dưới thể hiện cấu hình hình học tham khảo của máy. Kích thước đối chiếu: rộng 510 mm, sâu 778 mm, cao 1.700 mm.</w:t>
      </w:r>
    </w:p>
    <w:p>
      <w:pPr>
        <w:keepNext/>
        <w:jc w:val="center"/>
      </w:pPr>
      <w:r>
        <w:drawing>
          <wp:inline xmlns:a="http://schemas.openxmlformats.org/drawingml/2006/main" xmlns:pic="http://schemas.openxmlformats.org/drawingml/2006/picture">
            <wp:extent cx="4140000" cy="6057984"/>
            <wp:docPr id="2" name="Picture 2"/>
            <wp:cNvGraphicFramePr>
              <a:graphicFrameLocks noChangeAspect="1"/>
            </wp:cNvGraphicFramePr>
            <a:graphic>
              <a:graphicData uri="http://schemas.openxmlformats.org/drawingml/2006/picture">
                <pic:pic>
                  <pic:nvPicPr>
                    <pic:cNvPr id="0" name="dimensions.jpg"/>
                    <pic:cNvPicPr/>
                  </pic:nvPicPr>
                  <pic:blipFill>
                    <a:blip r:embed="rId11"/>
                    <a:stretch>
                      <a:fillRect/>
                    </a:stretch>
                  </pic:blipFill>
                  <pic:spPr>
                    <a:xfrm>
                      <a:off x="0" y="0"/>
                      <a:ext cx="4140000" cy="6057984"/>
                    </a:xfrm>
                    <a:prstGeom prst="rect"/>
                  </pic:spPr>
                </pic:pic>
              </a:graphicData>
            </a:graphic>
          </wp:inline>
        </w:drawing>
      </w:r>
    </w:p>
    <w:p>
      <w:pPr>
        <w:spacing w:after="140"/>
        <w:jc w:val="center"/>
      </w:pPr>
      <w:r>
        <w:rPr>
          <w:rFonts w:ascii="Times New Roman" w:hAnsi="Times New Roman" w:eastAsia="Times New Roman"/>
          <w:b w:val="0"/>
          <w:i/>
          <w:color w:val="000000"/>
          <w:sz w:val="22"/>
        </w:rPr>
        <w:t>Hình 1. Ảnh mô phỏng thiết bị và các kích thước chính</w:t>
      </w:r>
    </w:p>
    <w:p>
      <w:r>
        <w:br w:type="page"/>
      </w:r>
    </w:p>
    <w:p>
      <w:pPr>
        <w:pStyle w:val="Heading1"/>
        <w:keepNext/>
        <w:spacing w:before="200" w:after="100" w:line="252" w:lineRule="auto"/>
        <w:jc w:val="left"/>
      </w:pPr>
    </w:p>
    <w:p>
      <w:pPr>
        <w:keepNext/>
        <w:jc w:val="center"/>
      </w:pPr>
      <w:r>
        <w:drawing>
          <wp:inline xmlns:a="http://schemas.openxmlformats.org/drawingml/2006/main" xmlns:pic="http://schemas.openxmlformats.org/drawingml/2006/picture">
            <wp:extent cx="5580000" cy="7440000"/>
            <wp:docPr id="3" name="Picture 3"/>
            <wp:cNvGraphicFramePr>
              <a:graphicFrameLocks noChangeAspect="1"/>
            </wp:cNvGraphicFramePr>
            <a:graphic>
              <a:graphicData uri="http://schemas.openxmlformats.org/drawingml/2006/picture">
                <pic:pic>
                  <pic:nvPicPr>
                    <pic:cNvPr id="0" name="front.jpg"/>
                    <pic:cNvPicPr/>
                  </pic:nvPicPr>
                  <pic:blipFill>
                    <a:blip r:embed="rId12"/>
                    <a:stretch>
                      <a:fillRect/>
                    </a:stretch>
                  </pic:blipFill>
                  <pic:spPr>
                    <a:xfrm>
                      <a:off x="0" y="0"/>
                      <a:ext cx="5580000" cy="7440000"/>
                    </a:xfrm>
                    <a:prstGeom prst="rect"/>
                  </pic:spPr>
                </pic:pic>
              </a:graphicData>
            </a:graphic>
          </wp:inline>
        </w:drawing>
      </w:r>
    </w:p>
    <w:p>
      <w:pPr>
        <w:spacing w:after="140"/>
        <w:jc w:val="center"/>
      </w:pPr>
      <w:r>
        <w:rPr>
          <w:rFonts w:ascii="Times New Roman" w:hAnsi="Times New Roman" w:eastAsia="Times New Roman"/>
          <w:b w:val="0"/>
          <w:i/>
          <w:color w:val="000000"/>
          <w:sz w:val="22"/>
        </w:rPr>
        <w:t>Hình 2. Hai máy Pinball thực tế với chín ngăn quà, bảng điểm và bàn bắn bi</w:t>
      </w:r>
    </w:p>
    <w:p>
      <w:pPr>
        <w:spacing w:line="276" w:lineRule="auto" w:after="120"/>
        <w:jc w:val="both"/>
      </w:pPr>
      <w:r>
        <w:rPr>
          <w:rFonts w:ascii="Times New Roman" w:hAnsi="Times New Roman" w:eastAsia="Times New Roman"/>
          <w:b w:val="0"/>
          <w:i w:val="0"/>
          <w:color w:val="000000"/>
          <w:sz w:val="26"/>
        </w:rPr>
        <w:t>Ảnh thực tế cho thấy hai nhóm quà mẫu gồm thú bông và sản phẩm/phụ kiện. Mức điểm đổi quà được hiển thị tại từng ngăn.</w:t>
      </w:r>
    </w:p>
    <w:p>
      <w:r>
        <w:br w:type="page"/>
      </w:r>
    </w:p>
    <w:p>
      <w:pPr>
        <w:pStyle w:val="Heading1"/>
        <w:keepNext/>
        <w:spacing w:before="200" w:after="100" w:line="252" w:lineRule="auto"/>
        <w:jc w:val="left"/>
      </w:pPr>
    </w:p>
    <w:p>
      <w:pPr>
        <w:keepNext/>
        <w:jc w:val="center"/>
      </w:pPr>
      <w:r>
        <w:drawing>
          <wp:inline xmlns:a="http://schemas.openxmlformats.org/drawingml/2006/main" xmlns:pic="http://schemas.openxmlformats.org/drawingml/2006/picture">
            <wp:extent cx="5400000" cy="7200000"/>
            <wp:docPr id="4" name="Picture 4"/>
            <wp:cNvGraphicFramePr>
              <a:graphicFrameLocks noChangeAspect="1"/>
            </wp:cNvGraphicFramePr>
            <a:graphic>
              <a:graphicData uri="http://schemas.openxmlformats.org/drawingml/2006/picture">
                <pic:pic>
                  <pic:nvPicPr>
                    <pic:cNvPr id="0" name="playfield.jpg"/>
                    <pic:cNvPicPr/>
                  </pic:nvPicPr>
                  <pic:blipFill>
                    <a:blip r:embed="rId13"/>
                    <a:stretch>
                      <a:fillRect/>
                    </a:stretch>
                  </pic:blipFill>
                  <pic:spPr>
                    <a:xfrm>
                      <a:off x="0" y="0"/>
                      <a:ext cx="5400000" cy="7200000"/>
                    </a:xfrm>
                    <a:prstGeom prst="rect"/>
                  </pic:spPr>
                </pic:pic>
              </a:graphicData>
            </a:graphic>
          </wp:inline>
        </w:drawing>
      </w:r>
    </w:p>
    <w:p>
      <w:pPr>
        <w:spacing w:after="140"/>
        <w:jc w:val="center"/>
      </w:pPr>
      <w:r>
        <w:rPr>
          <w:rFonts w:ascii="Times New Roman" w:hAnsi="Times New Roman" w:eastAsia="Times New Roman"/>
          <w:b w:val="0"/>
          <w:i/>
          <w:color w:val="000000"/>
          <w:sz w:val="22"/>
        </w:rPr>
        <w:t>Hình 3. Bàn chốt, khe ghi điểm, nút điều khiển và hướng dẫn chơi</w:t>
      </w:r>
    </w:p>
    <w:p>
      <w:pPr>
        <w:spacing w:line="276" w:lineRule="auto" w:after="120"/>
        <w:jc w:val="both"/>
      </w:pPr>
      <w:r>
        <w:rPr>
          <w:rFonts w:ascii="Times New Roman" w:hAnsi="Times New Roman" w:eastAsia="Times New Roman"/>
          <w:b w:val="0"/>
          <w:i w:val="0"/>
          <w:color w:val="000000"/>
          <w:sz w:val="26"/>
        </w:rPr>
        <w:t>Bàn chơi sử dụng cơ chế bắn bi qua hệ thống chốt; điểm được ghi nhận theo khe rơi và hệ số thưởng hiển thị trên máy.</w:t>
      </w:r>
    </w:p>
    <w:p>
      <w:r>
        <w:br w:type="page"/>
      </w:r>
    </w:p>
    <w:p>
      <w:pPr>
        <w:pStyle w:val="Heading1"/>
        <w:keepNext/>
        <w:spacing w:before="200" w:after="100" w:line="252" w:lineRule="auto"/>
        <w:jc w:val="left"/>
      </w:pPr>
    </w:p>
    <w:p>
      <w:pPr>
        <w:keepNext/>
        <w:jc w:val="center"/>
      </w:pPr>
      <w:r>
        <w:drawing>
          <wp:inline xmlns:a="http://schemas.openxmlformats.org/drawingml/2006/main" xmlns:pic="http://schemas.openxmlformats.org/drawingml/2006/picture">
            <wp:extent cx="5328000" cy="7104000"/>
            <wp:docPr id="5" name="Picture 5"/>
            <wp:cNvGraphicFramePr>
              <a:graphicFrameLocks noChangeAspect="1"/>
            </wp:cNvGraphicFramePr>
            <a:graphic>
              <a:graphicData uri="http://schemas.openxmlformats.org/drawingml/2006/picture">
                <pic:pic>
                  <pic:nvPicPr>
                    <pic:cNvPr id="0" name="controls.jpg"/>
                    <pic:cNvPicPr/>
                  </pic:nvPicPr>
                  <pic:blipFill>
                    <a:blip r:embed="rId14"/>
                    <a:stretch>
                      <a:fillRect/>
                    </a:stretch>
                  </pic:blipFill>
                  <pic:spPr>
                    <a:xfrm>
                      <a:off x="0" y="0"/>
                      <a:ext cx="5328000" cy="7104000"/>
                    </a:xfrm>
                    <a:prstGeom prst="rect"/>
                  </pic:spPr>
                </pic:pic>
              </a:graphicData>
            </a:graphic>
          </wp:inline>
        </w:drawing>
      </w:r>
    </w:p>
    <w:p>
      <w:pPr>
        <w:spacing w:after="140"/>
        <w:jc w:val="center"/>
      </w:pPr>
      <w:r>
        <w:rPr>
          <w:rFonts w:ascii="Times New Roman" w:hAnsi="Times New Roman" w:eastAsia="Times New Roman"/>
          <w:b w:val="0"/>
          <w:i/>
          <w:color w:val="000000"/>
          <w:sz w:val="22"/>
        </w:rPr>
        <w:t>Hình 4. Cần bắn bi, nút bắt đầu, bảng hướng dẫn và bề mặt điều khiển</w:t>
      </w:r>
    </w:p>
    <w:p>
      <w:pPr>
        <w:spacing w:line="276" w:lineRule="auto" w:after="120"/>
        <w:jc w:val="both"/>
      </w:pPr>
      <w:r>
        <w:rPr>
          <w:rFonts w:ascii="Times New Roman" w:hAnsi="Times New Roman" w:eastAsia="Times New Roman"/>
          <w:b w:val="0"/>
          <w:i w:val="0"/>
          <w:color w:val="000000"/>
          <w:sz w:val="26"/>
        </w:rPr>
        <w:t>Cụm điều khiển được bố trí ở mặt trước, thuận tiện cho người chơi thao tác và cho nhân viên kiểm tra ngoại quan trong ca vận hành.</w:t>
      </w:r>
    </w:p>
    <w:p>
      <w:r>
        <w:br w:type="page"/>
      </w:r>
    </w:p>
    <w:p>
      <w:pPr>
        <w:pStyle w:val="Heading1"/>
        <w:keepNext/>
        <w:spacing w:before="200" w:after="100" w:line="252" w:lineRule="auto"/>
        <w:jc w:val="left"/>
      </w:pPr>
    </w:p>
    <w:p>
      <w:pPr>
        <w:keepNext/>
        <w:jc w:val="center"/>
      </w:pPr>
      <w:r>
        <w:drawing>
          <wp:inline xmlns:a="http://schemas.openxmlformats.org/drawingml/2006/main" xmlns:pic="http://schemas.openxmlformats.org/drawingml/2006/picture">
            <wp:extent cx="4500000" cy="5253555"/>
            <wp:docPr id="6" name="Picture 6"/>
            <wp:cNvGraphicFramePr>
              <a:graphicFrameLocks noChangeAspect="1"/>
            </wp:cNvGraphicFramePr>
            <a:graphic>
              <a:graphicData uri="http://schemas.openxmlformats.org/drawingml/2006/picture">
                <pic:pic>
                  <pic:nvPicPr>
                    <pic:cNvPr id="0" name="installation.jpg"/>
                    <pic:cNvPicPr/>
                  </pic:nvPicPr>
                  <pic:blipFill>
                    <a:blip r:embed="rId10"/>
                    <a:stretch>
                      <a:fillRect/>
                    </a:stretch>
                  </pic:blipFill>
                  <pic:spPr>
                    <a:xfrm>
                      <a:off x="0" y="0"/>
                      <a:ext cx="4500000" cy="5253555"/>
                    </a:xfrm>
                    <a:prstGeom prst="rect"/>
                  </pic:spPr>
                </pic:pic>
              </a:graphicData>
            </a:graphic>
          </wp:inline>
        </w:drawing>
      </w:r>
    </w:p>
    <w:p>
      <w:pPr>
        <w:spacing w:after="140"/>
        <w:jc w:val="center"/>
      </w:pPr>
      <w:r>
        <w:rPr>
          <w:rFonts w:ascii="Times New Roman" w:hAnsi="Times New Roman" w:eastAsia="Times New Roman"/>
          <w:b w:val="0"/>
          <w:i/>
          <w:color w:val="000000"/>
          <w:sz w:val="22"/>
        </w:rPr>
        <w:t>Hình 5. Bố trí hai máy và ghế ngồi tại điểm trưng bày</w:t>
      </w:r>
    </w:p>
    <w:p>
      <w:pPr>
        <w:spacing w:line="276" w:lineRule="auto" w:after="120"/>
        <w:jc w:val="both"/>
      </w:pPr>
      <w:r>
        <w:rPr>
          <w:rFonts w:ascii="Times New Roman" w:hAnsi="Times New Roman" w:eastAsia="Times New Roman"/>
          <w:b w:val="0"/>
          <w:i w:val="0"/>
          <w:color w:val="000000"/>
          <w:sz w:val="26"/>
        </w:rPr>
        <w:t>Khi lắp đặt tại trung tâm thương mại, sơ đồ cuối cùng cần thể hiện rõ vùng ngồi chơi, vùng nhận quà, lối tiếp cận bảo trì, tuyến cấp điện và khoảng lưu thông xung quanh.</w:t>
      </w:r>
    </w:p>
    <w:p>
      <w:pPr>
        <w:pStyle w:val="Heading1"/>
        <w:keepNext/>
        <w:spacing w:before="200" w:after="100" w:line="252" w:lineRule="auto"/>
        <w:jc w:val="left"/>
      </w:pPr>
    </w:p>
    <w:p>
      <w:pPr>
        <w:spacing w:line="276" w:lineRule="auto" w:after="120"/>
        <w:ind w:firstLine="567"/>
        <w:jc w:val="both"/>
      </w:pPr>
      <w:r>
        <w:rPr>
          <w:rFonts w:ascii="Times New Roman" w:hAnsi="Times New Roman" w:eastAsia="Times New Roman"/>
          <w:b w:val="0"/>
          <w:i w:val="0"/>
          <w:color w:val="000000"/>
          <w:sz w:val="26"/>
        </w:rPr>
        <w:t>Máy bắn bi Pinball có kích thước gọn, công suất điện thấp, vận hành tự phục vụ và có hệ thống quản lý từ xa. Thiết bị phù hợp để xem xét bố trí tại khu vui chơi hoặc khu dịch vụ của trung tâm thương mại sau khi vị trí lắp đặt, kết nối điện - mạng, hồ sơ chứng từ và biện pháp an toàn được các bên xác nhận.</w:t>
      </w:r>
    </w:p>
    <w:p>
      <w:pPr>
        <w:spacing w:line="276" w:lineRule="auto" w:after="120"/>
        <w:ind w:firstLine="567"/>
        <w:jc w:val="both"/>
      </w:pPr>
      <w:r>
        <w:rPr>
          <w:rFonts w:ascii="Times New Roman" w:hAnsi="Times New Roman" w:eastAsia="Times New Roman"/>
          <w:b w:val="0"/>
          <w:i w:val="0"/>
          <w:color w:val="000000"/>
          <w:sz w:val="26"/>
        </w:rPr>
        <w:t>Công ty TNHH Công nghệ Việt Core Việt Nam kính đề nghị Ban Quản lý Trung tâm thương mại xem xét hồ sơ, tổ chức khảo sát vị trí và hướng dẫn các yêu cầu bổ sung để hoàn thiện phương án lắp đặt.</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422"/>
        <w:gridCol w:w="4422"/>
      </w:tblGrid>
      <w:tr>
        <w:tc>
          <w:tcPr>
            <w:tcW w:type="dxa" w:w="4535"/>
            <w:tcMar>
              <w:top w:w="100" w:type="dxa"/>
              <w:start w:w="80" w:type="dxa"/>
              <w:bottom w:w="100" w:type="dxa"/>
              <w:end w:w="80" w:type="dxa"/>
            </w:tcMar>
          </w:tcPr>
          <w:p>
            <w:pPr>
              <w:jc w:val="center"/>
            </w:pPr>
            <w:r>
              <w:rPr>
                <w:rFonts w:ascii="Times New Roman" w:hAnsi="Times New Roman" w:eastAsia="Times New Roman"/>
                <w:b/>
                <w:i w:val="0"/>
                <w:color w:val="000000"/>
                <w:sz w:val="24"/>
              </w:rPr>
              <w:t>ĐẠI DIỆN ĐƠN VỊ VẬN HÀNH</w:t>
            </w:r>
          </w:p>
          <w:p>
            <w:pPr>
              <w:jc w:val="center"/>
            </w:pPr>
            <w:r>
              <w:rPr>
                <w:rFonts w:ascii="Times New Roman" w:hAnsi="Times New Roman" w:eastAsia="Times New Roman"/>
                <w:b w:val="0"/>
                <w:i/>
                <w:color w:val="000000"/>
                <w:sz w:val="22"/>
              </w:rPr>
              <w:t>(Ký, ghi rõ họ tên và đóng dấu)</w:t>
            </w:r>
          </w:p>
          <w:p>
            <w:r>
              <w:br/>
              <w:br/>
              <w:br/>
              <w:br/>
            </w:r>
          </w:p>
        </w:tc>
        <w:tc>
          <w:tcPr>
            <w:tcW w:type="dxa" w:w="4535"/>
            <w:tcMar>
              <w:top w:w="100" w:type="dxa"/>
              <w:start w:w="80" w:type="dxa"/>
              <w:bottom w:w="100" w:type="dxa"/>
              <w:end w:w="80" w:type="dxa"/>
            </w:tcMar>
          </w:tcPr>
          <w:p>
            <w:pPr>
              <w:jc w:val="center"/>
            </w:pPr>
            <w:r>
              <w:rPr>
                <w:rFonts w:ascii="Times New Roman" w:hAnsi="Times New Roman" w:eastAsia="Times New Roman"/>
                <w:b/>
                <w:i w:val="0"/>
                <w:color w:val="000000"/>
                <w:sz w:val="24"/>
              </w:rPr>
              <w:t>ĐẠI DIỆN ĐƠN VỊ CUNG CẤP</w:t>
            </w:r>
          </w:p>
          <w:p>
            <w:pPr>
              <w:jc w:val="center"/>
            </w:pPr>
            <w:r>
              <w:rPr>
                <w:rFonts w:ascii="Times New Roman" w:hAnsi="Times New Roman" w:eastAsia="Times New Roman"/>
                <w:b w:val="0"/>
                <w:i/>
                <w:color w:val="000000"/>
                <w:sz w:val="22"/>
              </w:rPr>
              <w:t>(Ký, ghi rõ họ tên và đóng dấu)</w:t>
            </w:r>
          </w:p>
          <w:p>
            <w:r>
              <w:br/>
              <w:br/>
              <w:br/>
              <w:br/>
            </w:r>
          </w:p>
        </w:tc>
      </w:tr>
    </w:tbl>
    <w:sectPr w:rsidR="00FC693F" w:rsidRPr="0006063C" w:rsidSect="00034616">
      <w:headerReference w:type="default" r:id="rId9"/>
      <w:pgSz w:w="11906" w:h="16838"/>
      <w:pgMar w:top="1134" w:right="1134" w:bottom="1134" w:left="1701" w:header="454" w:footer="45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Times New Roman"/>
        <w:color w:val="000000"/>
        <w:sz w:val="26"/>
      </w:rPr>
      <w:fldChar w:fldCharType="begin"/>
      <w:instrText xml:space="preserve"> PAGE </w:instrText>
      <w:fldChar w:fldCharType="separate"/>
      <w:t>1</w:t>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Hồ sơ thuyết minh máy bắn bi Pinball trình trung tâm thương mại</dc:title>
  <dc:subject>Thông số kỹ thuật, phương án lắp đặt, vận hành, an toàn và hình ảnh thiết bị</dc:subject>
  <dc:creator>Công ty TNHH Công nghệ Việt Core Việt Nam</dc:creator>
  <cp:keywords>Pinball, máy bắn bi, trung tâm thương mại, hồ sơ kỹ thuật</cp:keywords>
  <dc:description>generated by python-docx</dc:description>
  <cp:lastModifiedBy/>
  <cp:revision>1</cp:revision>
  <dcterms:created xsi:type="dcterms:W3CDTF">2013-12-23T23:15:00Z</dcterms:created>
  <dcterms:modified xsi:type="dcterms:W3CDTF">2013-12-23T23:15:00Z</dcterms:modified>
  <cp:category/>
</cp:coreProperties>
</file>